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1924" w14:textId="03350F28" w:rsidR="00253028" w:rsidRPr="00271EA1" w:rsidRDefault="00362B16" w:rsidP="00271EA1">
      <w:pPr>
        <w:spacing w:after="120" w:line="240" w:lineRule="auto"/>
        <w:jc w:val="center"/>
        <w:rPr>
          <w:rFonts w:ascii="Times New Roman" w:hAnsi="Times New Roman"/>
          <w:sz w:val="24"/>
          <w:szCs w:val="24"/>
        </w:rPr>
      </w:pPr>
      <w:r w:rsidRPr="00271EA1">
        <w:rPr>
          <w:rFonts w:ascii="Times New Roman" w:hAnsi="Times New Roman"/>
          <w:b/>
          <w:sz w:val="24"/>
          <w:szCs w:val="24"/>
        </w:rPr>
        <w:t xml:space="preserve">Implementing Agreement for </w:t>
      </w:r>
      <w:r w:rsidR="00AD5840" w:rsidRPr="00271EA1">
        <w:rPr>
          <w:rFonts w:ascii="Times New Roman" w:hAnsi="Times New Roman"/>
          <w:b/>
          <w:sz w:val="24"/>
          <w:szCs w:val="24"/>
        </w:rPr>
        <w:t>Co-operation on Tokamak Programmes</w:t>
      </w:r>
      <w:r w:rsidR="00C156CD" w:rsidRPr="00271EA1">
        <w:rPr>
          <w:rFonts w:ascii="Times New Roman" w:hAnsi="Times New Roman"/>
          <w:b/>
          <w:sz w:val="24"/>
          <w:szCs w:val="24"/>
        </w:rPr>
        <w:br/>
      </w:r>
      <w:r w:rsidR="00065D13" w:rsidRPr="00271EA1">
        <w:rPr>
          <w:rFonts w:ascii="Times New Roman" w:hAnsi="Times New Roman"/>
          <w:b/>
          <w:sz w:val="24"/>
          <w:szCs w:val="24"/>
        </w:rPr>
        <w:t>2017–2022</w:t>
      </w:r>
    </w:p>
    <w:p w14:paraId="60FD3DD5" w14:textId="77777777" w:rsidR="00BB51D5" w:rsidRPr="00271EA1" w:rsidRDefault="00BB51D5" w:rsidP="00271EA1">
      <w:pPr>
        <w:spacing w:after="120" w:line="240" w:lineRule="auto"/>
        <w:rPr>
          <w:rFonts w:ascii="Times New Roman" w:hAnsi="Times New Roman"/>
          <w:b/>
          <w:sz w:val="24"/>
          <w:szCs w:val="24"/>
        </w:rPr>
      </w:pPr>
    </w:p>
    <w:p w14:paraId="0E8973E3" w14:textId="25932C34" w:rsidR="00C535EE" w:rsidRPr="00271EA1" w:rsidRDefault="0065719E" w:rsidP="00271EA1">
      <w:pPr>
        <w:spacing w:after="120" w:line="240" w:lineRule="auto"/>
        <w:rPr>
          <w:rFonts w:ascii="Times New Roman" w:hAnsi="Times New Roman"/>
          <w:sz w:val="24"/>
          <w:szCs w:val="24"/>
        </w:rPr>
      </w:pPr>
      <w:r w:rsidRPr="00271EA1">
        <w:rPr>
          <w:rFonts w:ascii="Times New Roman" w:hAnsi="Times New Roman"/>
          <w:b/>
          <w:i/>
          <w:sz w:val="24"/>
          <w:szCs w:val="24"/>
        </w:rPr>
        <w:t>Introduction</w:t>
      </w:r>
    </w:p>
    <w:p w14:paraId="5222D4A2" w14:textId="5C0C5747" w:rsidR="00362B16" w:rsidRPr="00271EA1" w:rsidRDefault="00362B16" w:rsidP="00D85128">
      <w:pPr>
        <w:spacing w:before="240" w:after="120" w:line="240" w:lineRule="auto"/>
        <w:jc w:val="both"/>
        <w:rPr>
          <w:rFonts w:ascii="Times New Roman" w:hAnsi="Times New Roman"/>
          <w:b/>
        </w:rPr>
      </w:pPr>
      <w:r w:rsidRPr="00271EA1">
        <w:rPr>
          <w:rFonts w:ascii="Times New Roman" w:hAnsi="Times New Roman"/>
          <w:b/>
        </w:rPr>
        <w:t>Background</w:t>
      </w:r>
    </w:p>
    <w:p w14:paraId="1D4430AE" w14:textId="3EC15B80" w:rsidR="00362B16" w:rsidRPr="00271EA1" w:rsidRDefault="00362B16" w:rsidP="00271EA1">
      <w:pPr>
        <w:spacing w:after="120" w:line="240" w:lineRule="auto"/>
        <w:jc w:val="both"/>
        <w:rPr>
          <w:rFonts w:ascii="Times New Roman" w:hAnsi="Times New Roman"/>
          <w:sz w:val="24"/>
          <w:szCs w:val="24"/>
        </w:rPr>
      </w:pPr>
      <w:r w:rsidRPr="00271EA1">
        <w:rPr>
          <w:rFonts w:ascii="Times New Roman" w:hAnsi="Times New Roman"/>
          <w:sz w:val="24"/>
          <w:szCs w:val="24"/>
        </w:rPr>
        <w:t>Fusion energy is an environmentally responsible technology that can make a major contribution to the reduction of CO</w:t>
      </w:r>
      <w:r w:rsidRPr="00271EA1">
        <w:rPr>
          <w:rFonts w:ascii="Times New Roman" w:hAnsi="Times New Roman"/>
          <w:sz w:val="24"/>
          <w:szCs w:val="24"/>
          <w:vertAlign w:val="subscript"/>
        </w:rPr>
        <w:t>2</w:t>
      </w:r>
      <w:r w:rsidRPr="00271EA1">
        <w:rPr>
          <w:rFonts w:ascii="Times New Roman" w:hAnsi="Times New Roman"/>
          <w:sz w:val="24"/>
          <w:szCs w:val="24"/>
        </w:rPr>
        <w:t xml:space="preserve"> emissions in the second half of the 21</w:t>
      </w:r>
      <w:r w:rsidRPr="00271EA1">
        <w:rPr>
          <w:rFonts w:ascii="Times New Roman" w:hAnsi="Times New Roman"/>
          <w:sz w:val="24"/>
          <w:szCs w:val="24"/>
          <w:vertAlign w:val="superscript"/>
        </w:rPr>
        <w:t>st</w:t>
      </w:r>
      <w:r w:rsidRPr="00271EA1">
        <w:rPr>
          <w:rFonts w:ascii="Times New Roman" w:hAnsi="Times New Roman"/>
          <w:sz w:val="24"/>
          <w:szCs w:val="24"/>
        </w:rPr>
        <w:t xml:space="preserve"> century. Fusion technologies are inherently safe, with the fusion fuel abundant worldwide. </w:t>
      </w:r>
    </w:p>
    <w:p w14:paraId="27666512" w14:textId="266D6A3D" w:rsidR="000A5AAF" w:rsidRPr="00D85128" w:rsidRDefault="00362B16" w:rsidP="00271EA1">
      <w:pPr>
        <w:spacing w:before="240" w:after="120" w:line="240" w:lineRule="auto"/>
        <w:jc w:val="both"/>
        <w:rPr>
          <w:rFonts w:ascii="Times New Roman" w:hAnsi="Times New Roman"/>
          <w:b/>
        </w:rPr>
      </w:pPr>
      <w:r w:rsidRPr="00D85128">
        <w:rPr>
          <w:rFonts w:ascii="Times New Roman" w:hAnsi="Times New Roman"/>
          <w:b/>
        </w:rPr>
        <w:t>Scope</w:t>
      </w:r>
    </w:p>
    <w:p w14:paraId="7D5DF032" w14:textId="6DF4BC4E" w:rsidR="00E00A01" w:rsidRPr="00271EA1" w:rsidRDefault="00D12015" w:rsidP="00271EA1">
      <w:pPr>
        <w:spacing w:after="120" w:line="240" w:lineRule="auto"/>
        <w:jc w:val="both"/>
        <w:rPr>
          <w:rFonts w:ascii="Times New Roman" w:hAnsi="Times New Roman"/>
          <w:sz w:val="24"/>
          <w:szCs w:val="24"/>
        </w:rPr>
      </w:pPr>
      <w:r w:rsidRPr="00271EA1">
        <w:rPr>
          <w:rFonts w:ascii="Times New Roman" w:hAnsi="Times New Roman"/>
          <w:sz w:val="24"/>
          <w:szCs w:val="24"/>
        </w:rPr>
        <w:t xml:space="preserve">The </w:t>
      </w:r>
      <w:r w:rsidR="00362B16" w:rsidRPr="00271EA1">
        <w:rPr>
          <w:rFonts w:ascii="Times New Roman" w:hAnsi="Times New Roman"/>
          <w:sz w:val="24"/>
          <w:szCs w:val="24"/>
        </w:rPr>
        <w:t xml:space="preserve">Implementing Agreement on Co-operation on Tokamak Programmes, also known as the Technology Collaboration Programme on Tokamak Programmes (CTP TCP), </w:t>
      </w:r>
      <w:r w:rsidRPr="00271EA1">
        <w:rPr>
          <w:rFonts w:ascii="Times New Roman" w:hAnsi="Times New Roman"/>
          <w:sz w:val="24"/>
          <w:szCs w:val="24"/>
        </w:rPr>
        <w:t>supports the de</w:t>
      </w:r>
      <w:r w:rsidR="006B797F" w:rsidRPr="00271EA1">
        <w:rPr>
          <w:rFonts w:ascii="Times New Roman" w:hAnsi="Times New Roman"/>
          <w:sz w:val="24"/>
          <w:szCs w:val="24"/>
        </w:rPr>
        <w:t>velopment of fusion energy by</w:t>
      </w:r>
      <w:r w:rsidRPr="00271EA1">
        <w:rPr>
          <w:rFonts w:ascii="Times New Roman" w:hAnsi="Times New Roman"/>
          <w:sz w:val="24"/>
          <w:szCs w:val="24"/>
        </w:rPr>
        <w:t xml:space="preserve"> contri</w:t>
      </w:r>
      <w:r w:rsidR="006B797F" w:rsidRPr="00271EA1">
        <w:rPr>
          <w:rFonts w:ascii="Times New Roman" w:hAnsi="Times New Roman"/>
          <w:sz w:val="24"/>
          <w:szCs w:val="24"/>
        </w:rPr>
        <w:t>buting to the ITER physics bas</w:t>
      </w:r>
      <w:r w:rsidR="00FC6C81" w:rsidRPr="00271EA1">
        <w:rPr>
          <w:rFonts w:ascii="Times New Roman" w:hAnsi="Times New Roman"/>
          <w:sz w:val="24"/>
          <w:szCs w:val="24"/>
        </w:rPr>
        <w:t>is</w:t>
      </w:r>
      <w:r w:rsidR="004D402C" w:rsidRPr="00271EA1">
        <w:rPr>
          <w:rFonts w:ascii="Times New Roman" w:hAnsi="Times New Roman"/>
          <w:sz w:val="24"/>
          <w:szCs w:val="24"/>
        </w:rPr>
        <w:t xml:space="preserve"> and</w:t>
      </w:r>
      <w:r w:rsidR="00B3658B" w:rsidRPr="00271EA1">
        <w:rPr>
          <w:rFonts w:ascii="Times New Roman" w:hAnsi="Times New Roman"/>
          <w:sz w:val="24"/>
          <w:szCs w:val="24"/>
        </w:rPr>
        <w:t xml:space="preserve"> DEMO design optimis</w:t>
      </w:r>
      <w:r w:rsidR="00AC2415" w:rsidRPr="00271EA1">
        <w:rPr>
          <w:rFonts w:ascii="Times New Roman" w:hAnsi="Times New Roman"/>
          <w:sz w:val="24"/>
          <w:szCs w:val="24"/>
        </w:rPr>
        <w:t xml:space="preserve">ation. </w:t>
      </w:r>
      <w:r w:rsidR="006B797F" w:rsidRPr="00271EA1">
        <w:rPr>
          <w:rFonts w:ascii="Times New Roman" w:hAnsi="Times New Roman"/>
          <w:sz w:val="24"/>
          <w:szCs w:val="24"/>
        </w:rPr>
        <w:t xml:space="preserve">The </w:t>
      </w:r>
      <w:r w:rsidR="00A44949" w:rsidRPr="00271EA1">
        <w:rPr>
          <w:rFonts w:ascii="Times New Roman" w:hAnsi="Times New Roman"/>
          <w:sz w:val="24"/>
          <w:szCs w:val="24"/>
        </w:rPr>
        <w:t>CTP TCP</w:t>
      </w:r>
      <w:r w:rsidR="006B797F" w:rsidRPr="00271EA1">
        <w:rPr>
          <w:rFonts w:ascii="Times New Roman" w:hAnsi="Times New Roman"/>
          <w:sz w:val="24"/>
          <w:szCs w:val="24"/>
        </w:rPr>
        <w:t xml:space="preserve"> provides a forum for tokamak program</w:t>
      </w:r>
      <w:r w:rsidR="004D402C" w:rsidRPr="00271EA1">
        <w:rPr>
          <w:rFonts w:ascii="Times New Roman" w:hAnsi="Times New Roman"/>
          <w:sz w:val="24"/>
          <w:szCs w:val="24"/>
        </w:rPr>
        <w:t>me</w:t>
      </w:r>
      <w:r w:rsidR="006B797F" w:rsidRPr="00271EA1">
        <w:rPr>
          <w:rFonts w:ascii="Times New Roman" w:hAnsi="Times New Roman"/>
          <w:sz w:val="24"/>
          <w:szCs w:val="24"/>
        </w:rPr>
        <w:t xml:space="preserve">s of the ITER Members to work </w:t>
      </w:r>
      <w:r w:rsidR="00FC6C81" w:rsidRPr="00271EA1">
        <w:rPr>
          <w:rFonts w:ascii="Times New Roman" w:hAnsi="Times New Roman"/>
          <w:sz w:val="24"/>
          <w:szCs w:val="24"/>
        </w:rPr>
        <w:t xml:space="preserve">closely </w:t>
      </w:r>
      <w:r w:rsidR="006B797F" w:rsidRPr="00271EA1">
        <w:rPr>
          <w:rFonts w:ascii="Times New Roman" w:hAnsi="Times New Roman"/>
          <w:sz w:val="24"/>
          <w:szCs w:val="24"/>
        </w:rPr>
        <w:t>together in coord</w:t>
      </w:r>
      <w:r w:rsidR="008F645F" w:rsidRPr="00271EA1">
        <w:rPr>
          <w:rFonts w:ascii="Times New Roman" w:hAnsi="Times New Roman"/>
          <w:sz w:val="24"/>
          <w:szCs w:val="24"/>
        </w:rPr>
        <w:t>inating their tokamak research by</w:t>
      </w:r>
      <w:r w:rsidR="006B797F" w:rsidRPr="00271EA1">
        <w:rPr>
          <w:rFonts w:ascii="Times New Roman" w:hAnsi="Times New Roman"/>
          <w:sz w:val="24"/>
          <w:szCs w:val="24"/>
        </w:rPr>
        <w:t xml:space="preserve"> carrying out scientific and technological exchanges, and holding workshops and meetings for the purpose of advancing the tokamak concept towards fusion energy and support ITER physics and technology needs.  </w:t>
      </w:r>
    </w:p>
    <w:p w14:paraId="5646117B" w14:textId="63AFA25B" w:rsidR="00E00A01" w:rsidRPr="00271EA1" w:rsidRDefault="00D27D81" w:rsidP="00271EA1">
      <w:pPr>
        <w:spacing w:after="120" w:line="240" w:lineRule="auto"/>
        <w:jc w:val="both"/>
        <w:rPr>
          <w:rFonts w:ascii="Times New Roman" w:hAnsi="Times New Roman"/>
          <w:sz w:val="24"/>
          <w:szCs w:val="24"/>
        </w:rPr>
      </w:pPr>
      <w:r w:rsidRPr="00271EA1">
        <w:rPr>
          <w:rFonts w:ascii="Times New Roman" w:hAnsi="Times New Roman"/>
          <w:sz w:val="24"/>
          <w:szCs w:val="24"/>
        </w:rPr>
        <w:t xml:space="preserve">The </w:t>
      </w:r>
      <w:r w:rsidR="00A44949" w:rsidRPr="00271EA1">
        <w:rPr>
          <w:rFonts w:ascii="Times New Roman" w:hAnsi="Times New Roman"/>
          <w:sz w:val="24"/>
          <w:szCs w:val="24"/>
        </w:rPr>
        <w:t>CTP TCP</w:t>
      </w:r>
      <w:r w:rsidRPr="00271EA1">
        <w:rPr>
          <w:rFonts w:ascii="Times New Roman" w:hAnsi="Times New Roman"/>
          <w:sz w:val="24"/>
          <w:szCs w:val="24"/>
        </w:rPr>
        <w:t xml:space="preserve"> is one of the main agreements for the implementation of the International Tokamak Physics Activit</w:t>
      </w:r>
      <w:r w:rsidR="00FC6C81" w:rsidRPr="00271EA1">
        <w:rPr>
          <w:rFonts w:ascii="Times New Roman" w:hAnsi="Times New Roman"/>
          <w:sz w:val="24"/>
          <w:szCs w:val="24"/>
        </w:rPr>
        <w:t>y</w:t>
      </w:r>
      <w:r w:rsidR="00DA64DE" w:rsidRPr="00271EA1">
        <w:rPr>
          <w:rFonts w:ascii="Times New Roman" w:hAnsi="Times New Roman"/>
          <w:sz w:val="24"/>
          <w:szCs w:val="24"/>
        </w:rPr>
        <w:t xml:space="preserve"> (ITPA)</w:t>
      </w:r>
      <w:r w:rsidRPr="00271EA1">
        <w:rPr>
          <w:rFonts w:ascii="Times New Roman" w:hAnsi="Times New Roman"/>
          <w:sz w:val="24"/>
          <w:szCs w:val="24"/>
        </w:rPr>
        <w:t xml:space="preserve">, which coordinates activities among the domestic programmes of the signatories to the ITER Agreement. The ITPA, which </w:t>
      </w:r>
      <w:r w:rsidR="00FC6C81" w:rsidRPr="00271EA1">
        <w:rPr>
          <w:rFonts w:ascii="Times New Roman" w:hAnsi="Times New Roman"/>
          <w:sz w:val="24"/>
          <w:szCs w:val="24"/>
        </w:rPr>
        <w:t xml:space="preserve">now operates under the auspices of the ITER </w:t>
      </w:r>
      <w:r w:rsidR="00362B16" w:rsidRPr="00271EA1">
        <w:rPr>
          <w:rFonts w:ascii="Times New Roman" w:hAnsi="Times New Roman"/>
          <w:sz w:val="24"/>
          <w:szCs w:val="24"/>
        </w:rPr>
        <w:t>o</w:t>
      </w:r>
      <w:r w:rsidR="00FC6C81" w:rsidRPr="00271EA1">
        <w:rPr>
          <w:rFonts w:ascii="Times New Roman" w:hAnsi="Times New Roman"/>
          <w:sz w:val="24"/>
          <w:szCs w:val="24"/>
        </w:rPr>
        <w:t>rgani</w:t>
      </w:r>
      <w:r w:rsidR="00362B16" w:rsidRPr="00271EA1">
        <w:rPr>
          <w:rFonts w:ascii="Times New Roman" w:hAnsi="Times New Roman"/>
          <w:sz w:val="24"/>
          <w:szCs w:val="24"/>
        </w:rPr>
        <w:t>s</w:t>
      </w:r>
      <w:r w:rsidR="00FC6C81" w:rsidRPr="00271EA1">
        <w:rPr>
          <w:rFonts w:ascii="Times New Roman" w:hAnsi="Times New Roman"/>
          <w:sz w:val="24"/>
          <w:szCs w:val="24"/>
        </w:rPr>
        <w:t>ation (</w:t>
      </w:r>
      <w:r w:rsidR="00362B16" w:rsidRPr="00271EA1">
        <w:rPr>
          <w:rFonts w:ascii="Times New Roman" w:hAnsi="Times New Roman"/>
          <w:sz w:val="24"/>
          <w:szCs w:val="24"/>
        </w:rPr>
        <w:t xml:space="preserve">ITER </w:t>
      </w:r>
      <w:r w:rsidR="00FC6C81" w:rsidRPr="00271EA1">
        <w:rPr>
          <w:rFonts w:ascii="Times New Roman" w:hAnsi="Times New Roman"/>
          <w:sz w:val="24"/>
          <w:szCs w:val="24"/>
        </w:rPr>
        <w:t>IO)</w:t>
      </w:r>
      <w:r w:rsidRPr="00271EA1">
        <w:rPr>
          <w:rFonts w:ascii="Times New Roman" w:hAnsi="Times New Roman"/>
          <w:sz w:val="24"/>
          <w:szCs w:val="24"/>
        </w:rPr>
        <w:t xml:space="preserve">, will provide most of the programmatic guidance to the </w:t>
      </w:r>
      <w:r w:rsidR="00A44949" w:rsidRPr="00271EA1">
        <w:rPr>
          <w:rFonts w:ascii="Times New Roman" w:hAnsi="Times New Roman"/>
          <w:sz w:val="24"/>
          <w:szCs w:val="24"/>
        </w:rPr>
        <w:t>CTP TCP</w:t>
      </w:r>
      <w:r w:rsidRPr="00271EA1">
        <w:rPr>
          <w:rFonts w:ascii="Times New Roman" w:hAnsi="Times New Roman"/>
          <w:sz w:val="24"/>
          <w:szCs w:val="24"/>
        </w:rPr>
        <w:t xml:space="preserve">, with close input from the </w:t>
      </w:r>
      <w:r w:rsidR="00362B16" w:rsidRPr="00271EA1">
        <w:rPr>
          <w:rFonts w:ascii="Times New Roman" w:hAnsi="Times New Roman"/>
          <w:sz w:val="24"/>
          <w:szCs w:val="24"/>
        </w:rPr>
        <w:t xml:space="preserve">ITER </w:t>
      </w:r>
      <w:r w:rsidRPr="00271EA1">
        <w:rPr>
          <w:rFonts w:ascii="Times New Roman" w:hAnsi="Times New Roman"/>
          <w:sz w:val="24"/>
          <w:szCs w:val="24"/>
        </w:rPr>
        <w:t xml:space="preserve">IO on its needs to resolve </w:t>
      </w:r>
      <w:r w:rsidR="00FC6C81" w:rsidRPr="00271EA1">
        <w:rPr>
          <w:rFonts w:ascii="Times New Roman" w:hAnsi="Times New Roman"/>
          <w:sz w:val="24"/>
          <w:szCs w:val="24"/>
        </w:rPr>
        <w:t>the remaining key</w:t>
      </w:r>
      <w:r w:rsidRPr="00271EA1">
        <w:rPr>
          <w:rFonts w:ascii="Times New Roman" w:hAnsi="Times New Roman"/>
          <w:sz w:val="24"/>
          <w:szCs w:val="24"/>
        </w:rPr>
        <w:t xml:space="preserve"> technical issues for the ITER design and</w:t>
      </w:r>
      <w:r w:rsidR="00FC6C81" w:rsidRPr="00271EA1">
        <w:rPr>
          <w:rFonts w:ascii="Times New Roman" w:hAnsi="Times New Roman"/>
          <w:sz w:val="24"/>
          <w:szCs w:val="24"/>
        </w:rPr>
        <w:t xml:space="preserve">, importantly, for </w:t>
      </w:r>
      <w:r w:rsidRPr="00271EA1">
        <w:rPr>
          <w:rFonts w:ascii="Times New Roman" w:hAnsi="Times New Roman"/>
          <w:sz w:val="24"/>
          <w:szCs w:val="24"/>
        </w:rPr>
        <w:t>preparation</w:t>
      </w:r>
      <w:r w:rsidR="00FC6C81" w:rsidRPr="00271EA1">
        <w:rPr>
          <w:rFonts w:ascii="Times New Roman" w:hAnsi="Times New Roman"/>
          <w:sz w:val="24"/>
          <w:szCs w:val="24"/>
        </w:rPr>
        <w:t xml:space="preserve"> of</w:t>
      </w:r>
      <w:r w:rsidRPr="00271EA1">
        <w:rPr>
          <w:rFonts w:ascii="Times New Roman" w:hAnsi="Times New Roman"/>
          <w:sz w:val="24"/>
          <w:szCs w:val="24"/>
        </w:rPr>
        <w:t xml:space="preserve"> its operating phase</w:t>
      </w:r>
      <w:r w:rsidR="00FC6C81" w:rsidRPr="00271EA1">
        <w:rPr>
          <w:rFonts w:ascii="Times New Roman" w:hAnsi="Times New Roman"/>
          <w:sz w:val="24"/>
          <w:szCs w:val="24"/>
        </w:rPr>
        <w:t>s</w:t>
      </w:r>
      <w:r w:rsidRPr="00271EA1">
        <w:rPr>
          <w:rFonts w:ascii="Times New Roman" w:hAnsi="Times New Roman"/>
          <w:sz w:val="24"/>
          <w:szCs w:val="24"/>
        </w:rPr>
        <w:t>.</w:t>
      </w:r>
      <w:r w:rsidR="00E00A01" w:rsidRPr="00271EA1">
        <w:rPr>
          <w:rFonts w:ascii="Times New Roman" w:hAnsi="Times New Roman"/>
          <w:sz w:val="24"/>
          <w:szCs w:val="24"/>
        </w:rPr>
        <w:t xml:space="preserve"> </w:t>
      </w:r>
    </w:p>
    <w:p w14:paraId="63F4380E" w14:textId="77777777" w:rsidR="00362B16" w:rsidRPr="00271EA1" w:rsidRDefault="00362B16" w:rsidP="00D85128">
      <w:pPr>
        <w:spacing w:before="240" w:after="120" w:line="240" w:lineRule="auto"/>
        <w:jc w:val="both"/>
        <w:rPr>
          <w:rFonts w:ascii="Times New Roman" w:hAnsi="Times New Roman"/>
          <w:b/>
        </w:rPr>
      </w:pPr>
      <w:r w:rsidRPr="00271EA1">
        <w:rPr>
          <w:rFonts w:ascii="Times New Roman" w:hAnsi="Times New Roman"/>
          <w:b/>
        </w:rPr>
        <w:t>Relevance</w:t>
      </w:r>
    </w:p>
    <w:p w14:paraId="294630BE" w14:textId="77777777" w:rsidR="004D05CA" w:rsidRPr="00271EA1" w:rsidRDefault="00362B16" w:rsidP="00271EA1">
      <w:pPr>
        <w:spacing w:after="120" w:line="240" w:lineRule="auto"/>
        <w:jc w:val="both"/>
        <w:rPr>
          <w:rFonts w:ascii="Times New Roman" w:hAnsi="Times New Roman"/>
          <w:sz w:val="24"/>
          <w:szCs w:val="24"/>
        </w:rPr>
      </w:pPr>
      <w:r w:rsidRPr="00271EA1">
        <w:rPr>
          <w:rFonts w:ascii="Times New Roman" w:hAnsi="Times New Roman"/>
          <w:sz w:val="24"/>
          <w:szCs w:val="24"/>
        </w:rPr>
        <w:t xml:space="preserve">Fusion research under the CTP TCP is well aligned with the IEA’s goals of energy security, economic growth, environmental protection and engagement worldwide. Fusion energy research under the CTP TCP is also highly relevant to the IEA Medium-Term Strategy for Energy Research and Technology, in particular, to help to accelerate the development and deployment of a broad range of energy technology options and to support continued research and development collaboration efforts and innovation for basic science and frontier or emerging technologies for long-term solutions. </w:t>
      </w:r>
    </w:p>
    <w:p w14:paraId="26E36007" w14:textId="4998B170" w:rsidR="0033494E" w:rsidRPr="00271EA1" w:rsidRDefault="0033494E">
      <w:pPr>
        <w:spacing w:after="0" w:line="240" w:lineRule="auto"/>
        <w:rPr>
          <w:rFonts w:ascii="Times New Roman" w:hAnsi="Times New Roman"/>
          <w:b/>
          <w:i/>
          <w:sz w:val="24"/>
          <w:szCs w:val="24"/>
        </w:rPr>
      </w:pPr>
    </w:p>
    <w:p w14:paraId="42E11BB8" w14:textId="78A3AE69" w:rsidR="00C47BAE" w:rsidRPr="00271EA1" w:rsidRDefault="00DB6955" w:rsidP="00271EA1">
      <w:pPr>
        <w:keepNext/>
        <w:spacing w:before="240" w:after="120" w:line="240" w:lineRule="auto"/>
        <w:jc w:val="both"/>
        <w:rPr>
          <w:rFonts w:ascii="Times New Roman" w:hAnsi="Times New Roman"/>
          <w:b/>
          <w:i/>
          <w:sz w:val="24"/>
          <w:szCs w:val="24"/>
        </w:rPr>
      </w:pPr>
      <w:r w:rsidRPr="00271EA1">
        <w:rPr>
          <w:rFonts w:ascii="Times New Roman" w:hAnsi="Times New Roman"/>
          <w:b/>
          <w:i/>
          <w:sz w:val="24"/>
          <w:szCs w:val="24"/>
        </w:rPr>
        <w:t xml:space="preserve">Planned </w:t>
      </w:r>
      <w:r w:rsidR="0033494E" w:rsidRPr="00271EA1">
        <w:rPr>
          <w:rFonts w:ascii="Times New Roman" w:hAnsi="Times New Roman"/>
          <w:b/>
          <w:i/>
          <w:sz w:val="24"/>
          <w:szCs w:val="24"/>
        </w:rPr>
        <w:t>activities 2017-2022</w:t>
      </w:r>
      <w:r w:rsidR="00154705" w:rsidRPr="00271EA1">
        <w:rPr>
          <w:rFonts w:ascii="Times New Roman" w:hAnsi="Times New Roman"/>
          <w:b/>
          <w:i/>
          <w:sz w:val="24"/>
          <w:szCs w:val="24"/>
        </w:rPr>
        <w:t xml:space="preserve"> </w:t>
      </w:r>
    </w:p>
    <w:p w14:paraId="2A9779FF" w14:textId="79F79159" w:rsidR="0033494E" w:rsidRPr="00271EA1" w:rsidRDefault="00E77D7F" w:rsidP="00271EA1">
      <w:pPr>
        <w:spacing w:after="120" w:line="240" w:lineRule="auto"/>
        <w:jc w:val="both"/>
        <w:rPr>
          <w:rFonts w:ascii="Times New Roman" w:hAnsi="Times New Roman"/>
          <w:sz w:val="24"/>
          <w:szCs w:val="24"/>
        </w:rPr>
      </w:pPr>
      <w:r w:rsidRPr="00271EA1">
        <w:rPr>
          <w:rFonts w:ascii="Times New Roman" w:hAnsi="Times New Roman"/>
          <w:sz w:val="24"/>
          <w:szCs w:val="24"/>
        </w:rPr>
        <w:t xml:space="preserve">The next critical step in demonstrating the scientific feasibility of fusion energy </w:t>
      </w:r>
      <w:r w:rsidR="007D1E29" w:rsidRPr="00271EA1">
        <w:rPr>
          <w:rFonts w:ascii="Times New Roman" w:hAnsi="Times New Roman"/>
          <w:sz w:val="24"/>
          <w:szCs w:val="24"/>
        </w:rPr>
        <w:t xml:space="preserve">is to demonstrate burning plasmas </w:t>
      </w:r>
      <w:r w:rsidR="006771C3" w:rsidRPr="00271EA1">
        <w:rPr>
          <w:rFonts w:ascii="Times New Roman" w:hAnsi="Times New Roman"/>
          <w:sz w:val="24"/>
          <w:szCs w:val="24"/>
        </w:rPr>
        <w:t xml:space="preserve">in long </w:t>
      </w:r>
      <w:r w:rsidR="007D1E29" w:rsidRPr="00271EA1">
        <w:rPr>
          <w:rFonts w:ascii="Times New Roman" w:hAnsi="Times New Roman"/>
          <w:sz w:val="24"/>
          <w:szCs w:val="24"/>
        </w:rPr>
        <w:t>pulse</w:t>
      </w:r>
      <w:r w:rsidRPr="00271EA1">
        <w:rPr>
          <w:rFonts w:ascii="Times New Roman" w:hAnsi="Times New Roman"/>
          <w:sz w:val="24"/>
          <w:szCs w:val="24"/>
        </w:rPr>
        <w:t>s</w:t>
      </w:r>
      <w:r w:rsidR="007D1E29" w:rsidRPr="00271EA1">
        <w:rPr>
          <w:rFonts w:ascii="Times New Roman" w:hAnsi="Times New Roman"/>
          <w:sz w:val="24"/>
          <w:szCs w:val="24"/>
        </w:rPr>
        <w:t xml:space="preserve">. </w:t>
      </w:r>
      <w:r w:rsidRPr="00271EA1">
        <w:rPr>
          <w:rFonts w:ascii="Times New Roman" w:hAnsi="Times New Roman"/>
          <w:sz w:val="24"/>
          <w:szCs w:val="24"/>
        </w:rPr>
        <w:t>As a</w:t>
      </w:r>
      <w:r w:rsidR="007D1E29" w:rsidRPr="00271EA1">
        <w:rPr>
          <w:rFonts w:ascii="Times New Roman" w:hAnsi="Times New Roman"/>
          <w:sz w:val="24"/>
          <w:szCs w:val="24"/>
        </w:rPr>
        <w:t xml:space="preserve">chieving this mission is a great challenge, and there are many scientific and technological </w:t>
      </w:r>
      <w:r w:rsidR="009E16EC" w:rsidRPr="00271EA1">
        <w:rPr>
          <w:rFonts w:ascii="Times New Roman" w:hAnsi="Times New Roman"/>
          <w:sz w:val="24"/>
          <w:szCs w:val="24"/>
        </w:rPr>
        <w:t>issues</w:t>
      </w:r>
      <w:r w:rsidR="007D1E29" w:rsidRPr="00271EA1">
        <w:rPr>
          <w:rFonts w:ascii="Times New Roman" w:hAnsi="Times New Roman"/>
          <w:sz w:val="24"/>
          <w:szCs w:val="24"/>
        </w:rPr>
        <w:t xml:space="preserve"> to be resolved</w:t>
      </w:r>
      <w:r w:rsidRPr="00271EA1">
        <w:rPr>
          <w:rFonts w:ascii="Times New Roman" w:hAnsi="Times New Roman"/>
          <w:sz w:val="24"/>
          <w:szCs w:val="24"/>
        </w:rPr>
        <w:t>, this is the primary mission of the ITER IO and of tokamak research programmes worldwide.</w:t>
      </w:r>
      <w:r w:rsidR="007D1E29" w:rsidRPr="00271EA1">
        <w:rPr>
          <w:rFonts w:ascii="Times New Roman" w:hAnsi="Times New Roman"/>
          <w:sz w:val="24"/>
          <w:szCs w:val="24"/>
        </w:rPr>
        <w:t xml:space="preserve"> </w:t>
      </w:r>
    </w:p>
    <w:p w14:paraId="456506CE" w14:textId="0BB5DDB4" w:rsidR="0033494E" w:rsidRPr="00271EA1" w:rsidRDefault="002B4588" w:rsidP="00271EA1">
      <w:pPr>
        <w:spacing w:after="120" w:line="240" w:lineRule="auto"/>
        <w:jc w:val="both"/>
        <w:rPr>
          <w:rFonts w:ascii="Times New Roman" w:hAnsi="Times New Roman"/>
          <w:sz w:val="24"/>
          <w:szCs w:val="24"/>
        </w:rPr>
      </w:pPr>
      <w:r w:rsidRPr="00271EA1">
        <w:rPr>
          <w:rFonts w:ascii="Times New Roman" w:hAnsi="Times New Roman"/>
          <w:sz w:val="24"/>
          <w:szCs w:val="24"/>
        </w:rPr>
        <w:t xml:space="preserve">The </w:t>
      </w:r>
      <w:r w:rsidR="007D1E29" w:rsidRPr="00271EA1">
        <w:rPr>
          <w:rFonts w:ascii="Times New Roman" w:hAnsi="Times New Roman"/>
          <w:sz w:val="24"/>
          <w:szCs w:val="24"/>
        </w:rPr>
        <w:t xml:space="preserve">tokamak experiments operating or under construction </w:t>
      </w:r>
      <w:r w:rsidR="00A01F5E" w:rsidRPr="00271EA1">
        <w:rPr>
          <w:rFonts w:ascii="Times New Roman" w:hAnsi="Times New Roman"/>
          <w:sz w:val="24"/>
          <w:szCs w:val="24"/>
        </w:rPr>
        <w:t>around the world, together with the</w:t>
      </w:r>
      <w:r w:rsidR="007D1E29" w:rsidRPr="00271EA1">
        <w:rPr>
          <w:rFonts w:ascii="Times New Roman" w:hAnsi="Times New Roman"/>
          <w:sz w:val="24"/>
          <w:szCs w:val="24"/>
        </w:rPr>
        <w:t xml:space="preserve"> accompanying theory and modelling program</w:t>
      </w:r>
      <w:r w:rsidR="00E565E9" w:rsidRPr="00271EA1">
        <w:rPr>
          <w:rFonts w:ascii="Times New Roman" w:hAnsi="Times New Roman"/>
          <w:sz w:val="24"/>
          <w:szCs w:val="24"/>
        </w:rPr>
        <w:t>me</w:t>
      </w:r>
      <w:r w:rsidR="007D1E29" w:rsidRPr="00271EA1">
        <w:rPr>
          <w:rFonts w:ascii="Times New Roman" w:hAnsi="Times New Roman"/>
          <w:sz w:val="24"/>
          <w:szCs w:val="24"/>
        </w:rPr>
        <w:t>s</w:t>
      </w:r>
      <w:r w:rsidR="009E16EC" w:rsidRPr="00271EA1">
        <w:rPr>
          <w:rFonts w:ascii="Times New Roman" w:hAnsi="Times New Roman"/>
          <w:sz w:val="24"/>
          <w:szCs w:val="24"/>
        </w:rPr>
        <w:t>,</w:t>
      </w:r>
      <w:r w:rsidR="007D1E29" w:rsidRPr="00271EA1">
        <w:rPr>
          <w:rFonts w:ascii="Times New Roman" w:hAnsi="Times New Roman"/>
          <w:sz w:val="24"/>
          <w:szCs w:val="24"/>
        </w:rPr>
        <w:t xml:space="preserve"> </w:t>
      </w:r>
      <w:r w:rsidR="00E77D7F" w:rsidRPr="00271EA1">
        <w:rPr>
          <w:rFonts w:ascii="Times New Roman" w:hAnsi="Times New Roman"/>
          <w:sz w:val="24"/>
          <w:szCs w:val="24"/>
        </w:rPr>
        <w:t xml:space="preserve">strive to </w:t>
      </w:r>
      <w:r w:rsidR="00B85875" w:rsidRPr="00271EA1">
        <w:rPr>
          <w:rFonts w:ascii="Times New Roman" w:hAnsi="Times New Roman"/>
          <w:sz w:val="24"/>
          <w:szCs w:val="24"/>
        </w:rPr>
        <w:t>resol</w:t>
      </w:r>
      <w:r w:rsidR="00E77D7F" w:rsidRPr="00271EA1">
        <w:rPr>
          <w:rFonts w:ascii="Times New Roman" w:hAnsi="Times New Roman"/>
          <w:sz w:val="24"/>
          <w:szCs w:val="24"/>
        </w:rPr>
        <w:t>ve t</w:t>
      </w:r>
      <w:r w:rsidR="00B85875" w:rsidRPr="00271EA1">
        <w:rPr>
          <w:rFonts w:ascii="Times New Roman" w:hAnsi="Times New Roman"/>
          <w:sz w:val="24"/>
          <w:szCs w:val="24"/>
        </w:rPr>
        <w:t xml:space="preserve">hese issues. </w:t>
      </w:r>
      <w:r w:rsidR="007D1E29" w:rsidRPr="00271EA1">
        <w:rPr>
          <w:rFonts w:ascii="Times New Roman" w:hAnsi="Times New Roman"/>
          <w:sz w:val="24"/>
          <w:szCs w:val="24"/>
        </w:rPr>
        <w:t xml:space="preserve">The Joint Experiments </w:t>
      </w:r>
      <w:r w:rsidR="00E77D7F" w:rsidRPr="00271EA1">
        <w:rPr>
          <w:rFonts w:ascii="Times New Roman" w:hAnsi="Times New Roman"/>
          <w:sz w:val="24"/>
          <w:szCs w:val="24"/>
        </w:rPr>
        <w:t xml:space="preserve">(JEX) </w:t>
      </w:r>
      <w:r w:rsidR="007D1E29" w:rsidRPr="00271EA1">
        <w:rPr>
          <w:rFonts w:ascii="Times New Roman" w:hAnsi="Times New Roman"/>
          <w:sz w:val="24"/>
          <w:szCs w:val="24"/>
        </w:rPr>
        <w:t>program</w:t>
      </w:r>
      <w:r w:rsidR="00EA026B" w:rsidRPr="00271EA1">
        <w:rPr>
          <w:rFonts w:ascii="Times New Roman" w:hAnsi="Times New Roman"/>
          <w:sz w:val="24"/>
          <w:szCs w:val="24"/>
        </w:rPr>
        <w:t>me</w:t>
      </w:r>
      <w:r w:rsidR="007D1E29" w:rsidRPr="00271EA1">
        <w:rPr>
          <w:rFonts w:ascii="Times New Roman" w:hAnsi="Times New Roman"/>
          <w:sz w:val="24"/>
          <w:szCs w:val="24"/>
        </w:rPr>
        <w:t xml:space="preserve"> jointly supported by</w:t>
      </w:r>
      <w:r w:rsidR="00B85875" w:rsidRPr="00271EA1">
        <w:rPr>
          <w:rFonts w:ascii="Times New Roman" w:hAnsi="Times New Roman"/>
          <w:sz w:val="24"/>
          <w:szCs w:val="24"/>
        </w:rPr>
        <w:t xml:space="preserve"> </w:t>
      </w:r>
      <w:r w:rsidR="002F0AA1" w:rsidRPr="00271EA1">
        <w:rPr>
          <w:rFonts w:ascii="Times New Roman" w:hAnsi="Times New Roman"/>
          <w:sz w:val="24"/>
          <w:szCs w:val="24"/>
        </w:rPr>
        <w:t xml:space="preserve">ITER and </w:t>
      </w:r>
      <w:r w:rsidR="00B85875" w:rsidRPr="00271EA1">
        <w:rPr>
          <w:rFonts w:ascii="Times New Roman" w:hAnsi="Times New Roman"/>
          <w:sz w:val="24"/>
          <w:szCs w:val="24"/>
        </w:rPr>
        <w:t xml:space="preserve">the </w:t>
      </w:r>
      <w:r w:rsidR="007D1E29" w:rsidRPr="00271EA1">
        <w:rPr>
          <w:rFonts w:ascii="Times New Roman" w:hAnsi="Times New Roman"/>
          <w:sz w:val="24"/>
          <w:szCs w:val="24"/>
        </w:rPr>
        <w:t>I</w:t>
      </w:r>
      <w:r w:rsidR="000F7DE8" w:rsidRPr="00271EA1">
        <w:rPr>
          <w:rFonts w:ascii="Times New Roman" w:hAnsi="Times New Roman"/>
          <w:sz w:val="24"/>
          <w:szCs w:val="24"/>
        </w:rPr>
        <w:t xml:space="preserve">nternational </w:t>
      </w:r>
      <w:r w:rsidR="007D1E29" w:rsidRPr="00271EA1">
        <w:rPr>
          <w:rFonts w:ascii="Times New Roman" w:hAnsi="Times New Roman"/>
          <w:sz w:val="24"/>
          <w:szCs w:val="24"/>
        </w:rPr>
        <w:t>T</w:t>
      </w:r>
      <w:r w:rsidR="000F7DE8" w:rsidRPr="00271EA1">
        <w:rPr>
          <w:rFonts w:ascii="Times New Roman" w:hAnsi="Times New Roman"/>
          <w:sz w:val="24"/>
          <w:szCs w:val="24"/>
        </w:rPr>
        <w:t xml:space="preserve">okamak Physics </w:t>
      </w:r>
      <w:r w:rsidR="007D1E29" w:rsidRPr="00271EA1">
        <w:rPr>
          <w:rFonts w:ascii="Times New Roman" w:hAnsi="Times New Roman"/>
          <w:sz w:val="24"/>
          <w:szCs w:val="24"/>
        </w:rPr>
        <w:t>A</w:t>
      </w:r>
      <w:r w:rsidR="000F7DE8" w:rsidRPr="00271EA1">
        <w:rPr>
          <w:rFonts w:ascii="Times New Roman" w:hAnsi="Times New Roman"/>
          <w:sz w:val="24"/>
          <w:szCs w:val="24"/>
        </w:rPr>
        <w:t>ctivity (ITPA)</w:t>
      </w:r>
      <w:r w:rsidR="002F0AA1" w:rsidRPr="00271EA1">
        <w:rPr>
          <w:rFonts w:ascii="Times New Roman" w:hAnsi="Times New Roman"/>
          <w:sz w:val="24"/>
          <w:szCs w:val="24"/>
        </w:rPr>
        <w:t xml:space="preserve"> </w:t>
      </w:r>
      <w:r w:rsidR="007D1E29" w:rsidRPr="00271EA1">
        <w:rPr>
          <w:rFonts w:ascii="Times New Roman" w:hAnsi="Times New Roman"/>
          <w:sz w:val="24"/>
          <w:szCs w:val="24"/>
        </w:rPr>
        <w:t>contribute</w:t>
      </w:r>
      <w:r w:rsidR="009E16EC" w:rsidRPr="00271EA1">
        <w:rPr>
          <w:rFonts w:ascii="Times New Roman" w:hAnsi="Times New Roman"/>
          <w:sz w:val="24"/>
          <w:szCs w:val="24"/>
        </w:rPr>
        <w:t>s</w:t>
      </w:r>
      <w:r w:rsidR="007D1E29" w:rsidRPr="00271EA1">
        <w:rPr>
          <w:rFonts w:ascii="Times New Roman" w:hAnsi="Times New Roman"/>
          <w:sz w:val="24"/>
          <w:szCs w:val="24"/>
        </w:rPr>
        <w:t xml:space="preserve"> substantially to enhancing </w:t>
      </w:r>
      <w:r w:rsidR="00F37F9E" w:rsidRPr="00271EA1">
        <w:rPr>
          <w:rFonts w:ascii="Times New Roman" w:hAnsi="Times New Roman"/>
          <w:sz w:val="24"/>
          <w:szCs w:val="24"/>
        </w:rPr>
        <w:t xml:space="preserve">the </w:t>
      </w:r>
      <w:r w:rsidR="007D1E29" w:rsidRPr="00271EA1">
        <w:rPr>
          <w:rFonts w:ascii="Times New Roman" w:hAnsi="Times New Roman"/>
          <w:sz w:val="24"/>
          <w:szCs w:val="24"/>
        </w:rPr>
        <w:t xml:space="preserve">understanding of </w:t>
      </w:r>
      <w:r w:rsidR="00F37F9E" w:rsidRPr="00271EA1">
        <w:rPr>
          <w:rFonts w:ascii="Times New Roman" w:hAnsi="Times New Roman"/>
          <w:sz w:val="24"/>
          <w:szCs w:val="24"/>
        </w:rPr>
        <w:t xml:space="preserve">the </w:t>
      </w:r>
      <w:r w:rsidR="007D1E29" w:rsidRPr="00271EA1">
        <w:rPr>
          <w:rFonts w:ascii="Times New Roman" w:hAnsi="Times New Roman"/>
          <w:sz w:val="24"/>
          <w:szCs w:val="24"/>
        </w:rPr>
        <w:t>complex fusion science and engineering</w:t>
      </w:r>
      <w:r w:rsidR="00F37F9E" w:rsidRPr="00271EA1">
        <w:rPr>
          <w:rFonts w:ascii="Times New Roman" w:hAnsi="Times New Roman"/>
          <w:sz w:val="24"/>
          <w:szCs w:val="24"/>
        </w:rPr>
        <w:t xml:space="preserve"> issues</w:t>
      </w:r>
      <w:r w:rsidR="007D1E29" w:rsidRPr="00271EA1">
        <w:rPr>
          <w:rFonts w:ascii="Times New Roman" w:hAnsi="Times New Roman"/>
          <w:sz w:val="24"/>
          <w:szCs w:val="24"/>
        </w:rPr>
        <w:t xml:space="preserve">. </w:t>
      </w:r>
      <w:r w:rsidR="008B0003" w:rsidRPr="00271EA1">
        <w:rPr>
          <w:rFonts w:ascii="Times New Roman" w:hAnsi="Times New Roman"/>
          <w:sz w:val="24"/>
          <w:szCs w:val="24"/>
        </w:rPr>
        <w:t>The c</w:t>
      </w:r>
      <w:r w:rsidR="007D1E29" w:rsidRPr="00271EA1">
        <w:rPr>
          <w:rFonts w:ascii="Times New Roman" w:hAnsi="Times New Roman"/>
          <w:sz w:val="24"/>
          <w:szCs w:val="24"/>
        </w:rPr>
        <w:t>onsolidation of scie</w:t>
      </w:r>
      <w:r w:rsidR="00BD5035" w:rsidRPr="00271EA1">
        <w:rPr>
          <w:rFonts w:ascii="Times New Roman" w:hAnsi="Times New Roman"/>
          <w:sz w:val="24"/>
          <w:szCs w:val="24"/>
        </w:rPr>
        <w:t xml:space="preserve">ntific exchanges </w:t>
      </w:r>
      <w:r w:rsidR="00BD5035" w:rsidRPr="00271EA1">
        <w:rPr>
          <w:rFonts w:ascii="Times New Roman" w:hAnsi="Times New Roman"/>
          <w:sz w:val="24"/>
          <w:szCs w:val="24"/>
        </w:rPr>
        <w:lastRenderedPageBreak/>
        <w:t>among all</w:t>
      </w:r>
      <w:r w:rsidR="007D1E29" w:rsidRPr="00271EA1">
        <w:rPr>
          <w:rFonts w:ascii="Times New Roman" w:hAnsi="Times New Roman"/>
          <w:sz w:val="24"/>
          <w:szCs w:val="24"/>
        </w:rPr>
        <w:t xml:space="preserve"> tokamaks</w:t>
      </w:r>
      <w:r w:rsidR="009D645C" w:rsidRPr="00271EA1">
        <w:rPr>
          <w:rFonts w:ascii="Times New Roman" w:hAnsi="Times New Roman"/>
          <w:sz w:val="24"/>
          <w:szCs w:val="24"/>
        </w:rPr>
        <w:t xml:space="preserve"> operating</w:t>
      </w:r>
      <w:r w:rsidR="007D1E29" w:rsidRPr="00271EA1">
        <w:rPr>
          <w:rFonts w:ascii="Times New Roman" w:hAnsi="Times New Roman"/>
          <w:sz w:val="24"/>
          <w:szCs w:val="24"/>
        </w:rPr>
        <w:t xml:space="preserve"> </w:t>
      </w:r>
      <w:r w:rsidR="00987F7A" w:rsidRPr="00271EA1">
        <w:rPr>
          <w:rFonts w:ascii="Times New Roman" w:hAnsi="Times New Roman"/>
          <w:sz w:val="24"/>
          <w:szCs w:val="24"/>
        </w:rPr>
        <w:t>with</w:t>
      </w:r>
      <w:r w:rsidR="009D645C" w:rsidRPr="00271EA1">
        <w:rPr>
          <w:rFonts w:ascii="Times New Roman" w:hAnsi="Times New Roman"/>
          <w:sz w:val="24"/>
          <w:szCs w:val="24"/>
        </w:rPr>
        <w:t>in</w:t>
      </w:r>
      <w:r w:rsidR="007D1E29" w:rsidRPr="00271EA1">
        <w:rPr>
          <w:rFonts w:ascii="Times New Roman" w:hAnsi="Times New Roman"/>
          <w:sz w:val="24"/>
          <w:szCs w:val="24"/>
        </w:rPr>
        <w:t xml:space="preserve"> the ITER Members</w:t>
      </w:r>
      <w:r w:rsidR="00A54BF2" w:rsidRPr="00271EA1">
        <w:rPr>
          <w:rFonts w:ascii="Times New Roman" w:hAnsi="Times New Roman"/>
          <w:sz w:val="24"/>
          <w:szCs w:val="24"/>
        </w:rPr>
        <w:t>’</w:t>
      </w:r>
      <w:r w:rsidR="00987F7A" w:rsidRPr="00271EA1">
        <w:rPr>
          <w:rFonts w:ascii="Times New Roman" w:hAnsi="Times New Roman"/>
          <w:sz w:val="24"/>
          <w:szCs w:val="24"/>
        </w:rPr>
        <w:t xml:space="preserve"> research programmes</w:t>
      </w:r>
      <w:r w:rsidR="007D1E29" w:rsidRPr="00271EA1">
        <w:rPr>
          <w:rFonts w:ascii="Times New Roman" w:hAnsi="Times New Roman"/>
          <w:sz w:val="24"/>
          <w:szCs w:val="24"/>
        </w:rPr>
        <w:t xml:space="preserve"> </w:t>
      </w:r>
      <w:r w:rsidR="002F0AA1" w:rsidRPr="00271EA1">
        <w:rPr>
          <w:rFonts w:ascii="Times New Roman" w:hAnsi="Times New Roman"/>
          <w:sz w:val="24"/>
          <w:szCs w:val="24"/>
        </w:rPr>
        <w:t>e</w:t>
      </w:r>
      <w:r w:rsidR="007D1E29" w:rsidRPr="00271EA1">
        <w:rPr>
          <w:rFonts w:ascii="Times New Roman" w:hAnsi="Times New Roman"/>
          <w:sz w:val="24"/>
          <w:szCs w:val="24"/>
        </w:rPr>
        <w:t xml:space="preserve">nhance the planning of such experiments and efficient implementation of scientific exchanges. </w:t>
      </w:r>
    </w:p>
    <w:p w14:paraId="00B6E7F1" w14:textId="1C23EA25" w:rsidR="0033494E" w:rsidRPr="00271EA1" w:rsidRDefault="007D1E29" w:rsidP="00271EA1">
      <w:pPr>
        <w:spacing w:after="120" w:line="240" w:lineRule="auto"/>
        <w:jc w:val="both"/>
        <w:rPr>
          <w:rFonts w:ascii="Times New Roman" w:hAnsi="Times New Roman"/>
          <w:sz w:val="24"/>
          <w:szCs w:val="24"/>
        </w:rPr>
      </w:pPr>
      <w:r w:rsidRPr="00271EA1">
        <w:rPr>
          <w:rFonts w:ascii="Times New Roman" w:hAnsi="Times New Roman"/>
          <w:sz w:val="24"/>
          <w:szCs w:val="24"/>
        </w:rPr>
        <w:t xml:space="preserve">The </w:t>
      </w:r>
      <w:r w:rsidR="00A44949" w:rsidRPr="00271EA1">
        <w:rPr>
          <w:rFonts w:ascii="Times New Roman" w:hAnsi="Times New Roman"/>
          <w:sz w:val="24"/>
          <w:szCs w:val="24"/>
        </w:rPr>
        <w:t>CTP TCP</w:t>
      </w:r>
      <w:r w:rsidRPr="00271EA1">
        <w:rPr>
          <w:rFonts w:ascii="Times New Roman" w:hAnsi="Times New Roman"/>
          <w:sz w:val="24"/>
          <w:szCs w:val="24"/>
        </w:rPr>
        <w:t xml:space="preserve"> enhance</w:t>
      </w:r>
      <w:r w:rsidR="002F0AA1" w:rsidRPr="00271EA1">
        <w:rPr>
          <w:rFonts w:ascii="Times New Roman" w:hAnsi="Times New Roman"/>
          <w:sz w:val="24"/>
          <w:szCs w:val="24"/>
        </w:rPr>
        <w:t>s</w:t>
      </w:r>
      <w:r w:rsidRPr="00271EA1">
        <w:rPr>
          <w:rFonts w:ascii="Times New Roman" w:hAnsi="Times New Roman"/>
          <w:sz w:val="24"/>
          <w:szCs w:val="24"/>
        </w:rPr>
        <w:t xml:space="preserve"> close cooperation and coordination of </w:t>
      </w:r>
      <w:r w:rsidR="00EE55B4" w:rsidRPr="00271EA1">
        <w:rPr>
          <w:rFonts w:ascii="Times New Roman" w:hAnsi="Times New Roman"/>
          <w:sz w:val="24"/>
          <w:szCs w:val="24"/>
        </w:rPr>
        <w:t xml:space="preserve">tokamak </w:t>
      </w:r>
      <w:r w:rsidRPr="00271EA1">
        <w:rPr>
          <w:rFonts w:ascii="Times New Roman" w:hAnsi="Times New Roman"/>
          <w:sz w:val="24"/>
          <w:szCs w:val="24"/>
        </w:rPr>
        <w:t>research</w:t>
      </w:r>
      <w:r w:rsidR="000F7DE8" w:rsidRPr="00271EA1">
        <w:rPr>
          <w:rFonts w:ascii="Times New Roman" w:hAnsi="Times New Roman"/>
          <w:sz w:val="24"/>
          <w:szCs w:val="24"/>
        </w:rPr>
        <w:t xml:space="preserve">, </w:t>
      </w:r>
      <w:r w:rsidRPr="00271EA1">
        <w:rPr>
          <w:rFonts w:ascii="Times New Roman" w:hAnsi="Times New Roman"/>
          <w:sz w:val="24"/>
          <w:szCs w:val="24"/>
        </w:rPr>
        <w:t>including experiments, theory, advanced computing</w:t>
      </w:r>
      <w:r w:rsidR="000F7DE8" w:rsidRPr="00271EA1">
        <w:rPr>
          <w:rFonts w:ascii="Times New Roman" w:hAnsi="Times New Roman"/>
          <w:sz w:val="24"/>
          <w:szCs w:val="24"/>
        </w:rPr>
        <w:t xml:space="preserve"> and scientific exchanges. These activities </w:t>
      </w:r>
      <w:r w:rsidRPr="00271EA1">
        <w:rPr>
          <w:rFonts w:ascii="Times New Roman" w:hAnsi="Times New Roman"/>
          <w:sz w:val="24"/>
          <w:szCs w:val="24"/>
        </w:rPr>
        <w:t>provide valuable insights on the complex and non-linear coupling among the different scientific issues, integration to achieve high</w:t>
      </w:r>
      <w:r w:rsidR="000F7DE8" w:rsidRPr="00271EA1">
        <w:rPr>
          <w:rFonts w:ascii="Times New Roman" w:hAnsi="Times New Roman"/>
          <w:sz w:val="24"/>
          <w:szCs w:val="24"/>
        </w:rPr>
        <w:t>-</w:t>
      </w:r>
      <w:r w:rsidRPr="00271EA1">
        <w:rPr>
          <w:rFonts w:ascii="Times New Roman" w:hAnsi="Times New Roman"/>
          <w:sz w:val="24"/>
          <w:szCs w:val="24"/>
        </w:rPr>
        <w:t>performance</w:t>
      </w:r>
      <w:r w:rsidR="000F7DE8" w:rsidRPr="00271EA1">
        <w:rPr>
          <w:rFonts w:ascii="Times New Roman" w:hAnsi="Times New Roman"/>
          <w:sz w:val="24"/>
          <w:szCs w:val="24"/>
        </w:rPr>
        <w:t xml:space="preserve"> </w:t>
      </w:r>
      <w:r w:rsidRPr="00271EA1">
        <w:rPr>
          <w:rFonts w:ascii="Times New Roman" w:hAnsi="Times New Roman"/>
          <w:sz w:val="24"/>
          <w:szCs w:val="24"/>
        </w:rPr>
        <w:t xml:space="preserve">plasmas in steady-state conditions, and to extrapolate them to burning plasmas </w:t>
      </w:r>
      <w:r w:rsidR="000F7DE8" w:rsidRPr="00271EA1">
        <w:rPr>
          <w:rFonts w:ascii="Times New Roman" w:hAnsi="Times New Roman"/>
          <w:sz w:val="24"/>
          <w:szCs w:val="24"/>
        </w:rPr>
        <w:t>for the</w:t>
      </w:r>
      <w:r w:rsidRPr="00271EA1">
        <w:rPr>
          <w:rFonts w:ascii="Times New Roman" w:hAnsi="Times New Roman"/>
          <w:sz w:val="24"/>
          <w:szCs w:val="24"/>
        </w:rPr>
        <w:t xml:space="preserve"> ITER</w:t>
      </w:r>
      <w:r w:rsidR="000F7DE8" w:rsidRPr="00271EA1">
        <w:rPr>
          <w:rFonts w:ascii="Times New Roman" w:hAnsi="Times New Roman"/>
          <w:sz w:val="24"/>
          <w:szCs w:val="24"/>
        </w:rPr>
        <w:t xml:space="preserve"> experiment</w:t>
      </w:r>
      <w:r w:rsidRPr="00271EA1">
        <w:rPr>
          <w:rFonts w:ascii="Times New Roman" w:hAnsi="Times New Roman"/>
          <w:sz w:val="24"/>
          <w:szCs w:val="24"/>
        </w:rPr>
        <w:t>.</w:t>
      </w:r>
      <w:r w:rsidR="007D0F95" w:rsidRPr="00271EA1">
        <w:rPr>
          <w:rFonts w:ascii="Times New Roman" w:hAnsi="Times New Roman"/>
          <w:sz w:val="24"/>
          <w:szCs w:val="24"/>
        </w:rPr>
        <w:t xml:space="preserve"> </w:t>
      </w:r>
    </w:p>
    <w:p w14:paraId="1437AC90" w14:textId="490E9E78" w:rsidR="00DF0E51" w:rsidRPr="00271EA1" w:rsidRDefault="007D0F95" w:rsidP="00271EA1">
      <w:pPr>
        <w:spacing w:after="120" w:line="240" w:lineRule="auto"/>
        <w:jc w:val="both"/>
        <w:rPr>
          <w:rFonts w:ascii="Times New Roman" w:hAnsi="Times New Roman"/>
          <w:sz w:val="24"/>
          <w:szCs w:val="24"/>
        </w:rPr>
      </w:pPr>
      <w:r w:rsidRPr="00271EA1">
        <w:rPr>
          <w:rFonts w:ascii="Times New Roman" w:hAnsi="Times New Roman"/>
          <w:sz w:val="24"/>
          <w:szCs w:val="24"/>
        </w:rPr>
        <w:t xml:space="preserve">The ITPA </w:t>
      </w:r>
      <w:r w:rsidR="000F7DE8" w:rsidRPr="00271EA1">
        <w:rPr>
          <w:rFonts w:ascii="Times New Roman" w:hAnsi="Times New Roman"/>
          <w:sz w:val="24"/>
          <w:szCs w:val="24"/>
        </w:rPr>
        <w:t>t</w:t>
      </w:r>
      <w:r w:rsidRPr="00271EA1">
        <w:rPr>
          <w:rFonts w:ascii="Times New Roman" w:hAnsi="Times New Roman"/>
          <w:sz w:val="24"/>
          <w:szCs w:val="24"/>
        </w:rPr>
        <w:t xml:space="preserve">opical </w:t>
      </w:r>
      <w:r w:rsidR="000F7DE8" w:rsidRPr="00271EA1">
        <w:rPr>
          <w:rFonts w:ascii="Times New Roman" w:hAnsi="Times New Roman"/>
          <w:sz w:val="24"/>
          <w:szCs w:val="24"/>
        </w:rPr>
        <w:t>g</w:t>
      </w:r>
      <w:r w:rsidRPr="00271EA1">
        <w:rPr>
          <w:rFonts w:ascii="Times New Roman" w:hAnsi="Times New Roman"/>
          <w:sz w:val="24"/>
          <w:szCs w:val="24"/>
        </w:rPr>
        <w:t xml:space="preserve">roup </w:t>
      </w:r>
      <w:r w:rsidR="000F7DE8" w:rsidRPr="00271EA1">
        <w:rPr>
          <w:rFonts w:ascii="Times New Roman" w:hAnsi="Times New Roman"/>
          <w:sz w:val="24"/>
          <w:szCs w:val="24"/>
        </w:rPr>
        <w:t>s</w:t>
      </w:r>
      <w:r w:rsidRPr="00271EA1">
        <w:rPr>
          <w:rFonts w:ascii="Times New Roman" w:hAnsi="Times New Roman"/>
          <w:sz w:val="24"/>
          <w:szCs w:val="24"/>
        </w:rPr>
        <w:t xml:space="preserve">tructure </w:t>
      </w:r>
      <w:r w:rsidR="00A00E4D" w:rsidRPr="00271EA1">
        <w:rPr>
          <w:rFonts w:ascii="Times New Roman" w:hAnsi="Times New Roman"/>
          <w:sz w:val="24"/>
          <w:szCs w:val="24"/>
        </w:rPr>
        <w:t>is effective</w:t>
      </w:r>
      <w:r w:rsidRPr="00271EA1">
        <w:rPr>
          <w:rFonts w:ascii="Times New Roman" w:hAnsi="Times New Roman"/>
          <w:sz w:val="24"/>
          <w:szCs w:val="24"/>
        </w:rPr>
        <w:t xml:space="preserve"> </w:t>
      </w:r>
      <w:r w:rsidR="00A00E4D" w:rsidRPr="00271EA1">
        <w:rPr>
          <w:rFonts w:ascii="Times New Roman" w:hAnsi="Times New Roman"/>
          <w:sz w:val="24"/>
          <w:szCs w:val="24"/>
        </w:rPr>
        <w:t xml:space="preserve">in </w:t>
      </w:r>
      <w:r w:rsidRPr="00271EA1">
        <w:rPr>
          <w:rFonts w:ascii="Times New Roman" w:hAnsi="Times New Roman"/>
          <w:sz w:val="24"/>
          <w:szCs w:val="24"/>
        </w:rPr>
        <w:t>organi</w:t>
      </w:r>
      <w:r w:rsidR="000F7DE8" w:rsidRPr="00271EA1">
        <w:rPr>
          <w:rFonts w:ascii="Times New Roman" w:hAnsi="Times New Roman"/>
          <w:sz w:val="24"/>
          <w:szCs w:val="24"/>
        </w:rPr>
        <w:t>s</w:t>
      </w:r>
      <w:r w:rsidRPr="00271EA1">
        <w:rPr>
          <w:rFonts w:ascii="Times New Roman" w:hAnsi="Times New Roman"/>
          <w:sz w:val="24"/>
          <w:szCs w:val="24"/>
        </w:rPr>
        <w:t xml:space="preserve">ing the joint research activities under the </w:t>
      </w:r>
      <w:r w:rsidR="00A44949" w:rsidRPr="00271EA1">
        <w:rPr>
          <w:rFonts w:ascii="Times New Roman" w:hAnsi="Times New Roman"/>
          <w:sz w:val="24"/>
          <w:szCs w:val="24"/>
        </w:rPr>
        <w:t>CTP TCP</w:t>
      </w:r>
      <w:r w:rsidRPr="00271EA1">
        <w:rPr>
          <w:rFonts w:ascii="Times New Roman" w:hAnsi="Times New Roman"/>
          <w:sz w:val="24"/>
          <w:szCs w:val="24"/>
        </w:rPr>
        <w:t xml:space="preserve">, namely: </w:t>
      </w:r>
      <w:r w:rsidR="00C74C82" w:rsidRPr="00271EA1">
        <w:rPr>
          <w:rFonts w:ascii="Times New Roman" w:hAnsi="Times New Roman"/>
          <w:sz w:val="24"/>
          <w:szCs w:val="24"/>
        </w:rPr>
        <w:t>transport and confinement physics, divertor/sol physics, integrated operating scenarios, pedestal physics, MHD, and energetic p</w:t>
      </w:r>
      <w:r w:rsidRPr="00271EA1">
        <w:rPr>
          <w:rFonts w:ascii="Times New Roman" w:hAnsi="Times New Roman"/>
          <w:sz w:val="24"/>
          <w:szCs w:val="24"/>
        </w:rPr>
        <w:t xml:space="preserve">articles and </w:t>
      </w:r>
      <w:r w:rsidR="00C74C82" w:rsidRPr="00271EA1">
        <w:rPr>
          <w:rFonts w:ascii="Times New Roman" w:hAnsi="Times New Roman"/>
          <w:sz w:val="24"/>
          <w:szCs w:val="24"/>
        </w:rPr>
        <w:t>d</w:t>
      </w:r>
      <w:r w:rsidRPr="00271EA1">
        <w:rPr>
          <w:rFonts w:ascii="Times New Roman" w:hAnsi="Times New Roman"/>
          <w:sz w:val="24"/>
          <w:szCs w:val="24"/>
        </w:rPr>
        <w:t>iagnostics.</w:t>
      </w:r>
      <w:r w:rsidR="009E00AC" w:rsidRPr="00271EA1">
        <w:rPr>
          <w:rFonts w:ascii="Times New Roman" w:hAnsi="Times New Roman"/>
          <w:sz w:val="24"/>
          <w:szCs w:val="24"/>
        </w:rPr>
        <w:t xml:space="preserve"> The</w:t>
      </w:r>
      <w:r w:rsidR="00C74C82" w:rsidRPr="00271EA1">
        <w:rPr>
          <w:rFonts w:ascii="Times New Roman" w:hAnsi="Times New Roman"/>
          <w:sz w:val="24"/>
          <w:szCs w:val="24"/>
        </w:rPr>
        <w:t>se groups d</w:t>
      </w:r>
      <w:r w:rsidR="009E00AC" w:rsidRPr="00271EA1">
        <w:rPr>
          <w:rFonts w:ascii="Times New Roman" w:hAnsi="Times New Roman"/>
          <w:sz w:val="24"/>
          <w:szCs w:val="24"/>
        </w:rPr>
        <w:t>iscuss and propose plans for specific joint research</w:t>
      </w:r>
      <w:r w:rsidR="00A54BF2" w:rsidRPr="00271EA1">
        <w:rPr>
          <w:rFonts w:ascii="Times New Roman" w:hAnsi="Times New Roman"/>
          <w:sz w:val="24"/>
          <w:szCs w:val="24"/>
        </w:rPr>
        <w:t xml:space="preserve"> tasks</w:t>
      </w:r>
      <w:r w:rsidR="009E00AC" w:rsidRPr="00271EA1">
        <w:rPr>
          <w:rFonts w:ascii="Times New Roman" w:hAnsi="Times New Roman"/>
          <w:sz w:val="24"/>
          <w:szCs w:val="24"/>
        </w:rPr>
        <w:t xml:space="preserve"> and review the results every year</w:t>
      </w:r>
      <w:r w:rsidR="00A54BF2" w:rsidRPr="00271EA1">
        <w:rPr>
          <w:rFonts w:ascii="Times New Roman" w:hAnsi="Times New Roman"/>
          <w:sz w:val="24"/>
          <w:szCs w:val="24"/>
        </w:rPr>
        <w:t>. T</w:t>
      </w:r>
      <w:r w:rsidR="009E00AC" w:rsidRPr="00271EA1">
        <w:rPr>
          <w:rFonts w:ascii="Times New Roman" w:hAnsi="Times New Roman"/>
          <w:sz w:val="24"/>
          <w:szCs w:val="24"/>
        </w:rPr>
        <w:t xml:space="preserve">he </w:t>
      </w:r>
      <w:r w:rsidR="00A44949" w:rsidRPr="00271EA1">
        <w:rPr>
          <w:rFonts w:ascii="Times New Roman" w:hAnsi="Times New Roman"/>
          <w:sz w:val="24"/>
          <w:szCs w:val="24"/>
        </w:rPr>
        <w:t>CTP TCP</w:t>
      </w:r>
      <w:r w:rsidR="007A17F5" w:rsidRPr="00271EA1">
        <w:rPr>
          <w:rFonts w:ascii="Times New Roman" w:hAnsi="Times New Roman"/>
          <w:sz w:val="24"/>
          <w:szCs w:val="24"/>
        </w:rPr>
        <w:t xml:space="preserve"> Executive Committee</w:t>
      </w:r>
      <w:r w:rsidR="009E00AC" w:rsidRPr="00271EA1">
        <w:rPr>
          <w:rFonts w:ascii="Times New Roman" w:hAnsi="Times New Roman"/>
          <w:sz w:val="24"/>
          <w:szCs w:val="24"/>
        </w:rPr>
        <w:t xml:space="preserve"> </w:t>
      </w:r>
      <w:r w:rsidR="0033494E" w:rsidRPr="00271EA1">
        <w:rPr>
          <w:rFonts w:ascii="Times New Roman" w:hAnsi="Times New Roman"/>
          <w:sz w:val="24"/>
          <w:szCs w:val="24"/>
        </w:rPr>
        <w:t>(</w:t>
      </w:r>
      <w:proofErr w:type="spellStart"/>
      <w:r w:rsidR="0033494E" w:rsidRPr="00271EA1">
        <w:rPr>
          <w:rFonts w:ascii="Times New Roman" w:hAnsi="Times New Roman"/>
          <w:sz w:val="24"/>
          <w:szCs w:val="24"/>
        </w:rPr>
        <w:t>ExCo</w:t>
      </w:r>
      <w:proofErr w:type="spellEnd"/>
      <w:r w:rsidR="0033494E" w:rsidRPr="00271EA1">
        <w:rPr>
          <w:rFonts w:ascii="Times New Roman" w:hAnsi="Times New Roman"/>
          <w:sz w:val="24"/>
          <w:szCs w:val="24"/>
        </w:rPr>
        <w:t xml:space="preserve">) </w:t>
      </w:r>
      <w:r w:rsidR="009E00AC" w:rsidRPr="00271EA1">
        <w:rPr>
          <w:rFonts w:ascii="Times New Roman" w:hAnsi="Times New Roman"/>
          <w:sz w:val="24"/>
          <w:szCs w:val="24"/>
        </w:rPr>
        <w:t>approve</w:t>
      </w:r>
      <w:r w:rsidR="007A17F5" w:rsidRPr="00271EA1">
        <w:rPr>
          <w:rFonts w:ascii="Times New Roman" w:hAnsi="Times New Roman"/>
          <w:sz w:val="24"/>
          <w:szCs w:val="24"/>
        </w:rPr>
        <w:t>s</w:t>
      </w:r>
      <w:r w:rsidR="009E00AC" w:rsidRPr="00271EA1">
        <w:rPr>
          <w:rFonts w:ascii="Times New Roman" w:hAnsi="Times New Roman"/>
          <w:sz w:val="24"/>
          <w:szCs w:val="24"/>
        </w:rPr>
        <w:t xml:space="preserve"> the plans and the reports</w:t>
      </w:r>
      <w:r w:rsidR="00524FDE" w:rsidRPr="00271EA1">
        <w:rPr>
          <w:rFonts w:ascii="Times New Roman" w:hAnsi="Times New Roman"/>
          <w:sz w:val="24"/>
          <w:szCs w:val="24"/>
        </w:rPr>
        <w:t xml:space="preserve"> </w:t>
      </w:r>
      <w:r w:rsidR="00622BEC" w:rsidRPr="00271EA1">
        <w:rPr>
          <w:rFonts w:ascii="Times New Roman" w:hAnsi="Times New Roman"/>
          <w:sz w:val="24"/>
          <w:szCs w:val="24"/>
        </w:rPr>
        <w:t>of the activities</w:t>
      </w:r>
      <w:r w:rsidR="00524FDE" w:rsidRPr="00271EA1">
        <w:rPr>
          <w:rFonts w:ascii="Times New Roman" w:hAnsi="Times New Roman"/>
          <w:sz w:val="24"/>
          <w:szCs w:val="24"/>
        </w:rPr>
        <w:t xml:space="preserve"> implemented under the </w:t>
      </w:r>
      <w:r w:rsidR="00A44949" w:rsidRPr="00271EA1">
        <w:rPr>
          <w:rFonts w:ascii="Times New Roman" w:hAnsi="Times New Roman"/>
          <w:sz w:val="24"/>
          <w:szCs w:val="24"/>
        </w:rPr>
        <w:t>CTP TCP</w:t>
      </w:r>
      <w:r w:rsidR="009E00AC" w:rsidRPr="00271EA1">
        <w:rPr>
          <w:rFonts w:ascii="Times New Roman" w:hAnsi="Times New Roman"/>
          <w:sz w:val="24"/>
          <w:szCs w:val="24"/>
        </w:rPr>
        <w:t>.</w:t>
      </w:r>
      <w:r w:rsidR="00E77D7F" w:rsidRPr="00271EA1">
        <w:rPr>
          <w:rFonts w:ascii="Times New Roman" w:hAnsi="Times New Roman"/>
          <w:sz w:val="24"/>
          <w:szCs w:val="24"/>
        </w:rPr>
        <w:t xml:space="preserve"> </w:t>
      </w:r>
    </w:p>
    <w:p w14:paraId="01DBE138" w14:textId="50E24BFE" w:rsidR="004D05CA" w:rsidRPr="00271EA1" w:rsidRDefault="004D05CA" w:rsidP="00271EA1">
      <w:pPr>
        <w:spacing w:after="120" w:line="240" w:lineRule="auto"/>
        <w:jc w:val="both"/>
        <w:rPr>
          <w:rFonts w:ascii="Times New Roman" w:hAnsi="Times New Roman"/>
          <w:sz w:val="24"/>
          <w:szCs w:val="24"/>
        </w:rPr>
      </w:pPr>
      <w:r w:rsidRPr="00271EA1">
        <w:rPr>
          <w:rFonts w:ascii="Times New Roman" w:hAnsi="Times New Roman"/>
          <w:sz w:val="24"/>
          <w:szCs w:val="24"/>
        </w:rPr>
        <w:t>In addition</w:t>
      </w:r>
      <w:r w:rsidR="000E11AF" w:rsidRPr="00271EA1">
        <w:rPr>
          <w:rFonts w:ascii="Times New Roman" w:hAnsi="Times New Roman"/>
          <w:sz w:val="24"/>
          <w:szCs w:val="24"/>
        </w:rPr>
        <w:t>,</w:t>
      </w:r>
      <w:r w:rsidRPr="00271EA1">
        <w:rPr>
          <w:rFonts w:ascii="Times New Roman" w:hAnsi="Times New Roman"/>
          <w:sz w:val="24"/>
          <w:szCs w:val="24"/>
        </w:rPr>
        <w:t xml:space="preserve"> the CTP TCP maintains strong links with all the other fusion-related TCPs. This close cooperation helps to ensure complementarity between research programmes executed by the Contracting Parties. It enables the co-ordinated exchange of personnel and equipment, avoiding unnecessary duplication of effort.  </w:t>
      </w:r>
    </w:p>
    <w:p w14:paraId="12BD615A" w14:textId="752A69DD" w:rsidR="000F7DE8" w:rsidRPr="00271EA1" w:rsidRDefault="000F7DE8" w:rsidP="00271EA1">
      <w:pPr>
        <w:spacing w:after="120" w:line="240" w:lineRule="auto"/>
        <w:jc w:val="both"/>
        <w:rPr>
          <w:rFonts w:ascii="Times New Roman" w:hAnsi="Times New Roman"/>
          <w:sz w:val="24"/>
          <w:szCs w:val="24"/>
        </w:rPr>
      </w:pPr>
      <w:r w:rsidRPr="00271EA1">
        <w:rPr>
          <w:rFonts w:ascii="Times New Roman" w:hAnsi="Times New Roman"/>
          <w:sz w:val="24"/>
          <w:szCs w:val="24"/>
        </w:rPr>
        <w:t xml:space="preserve">Given advances </w:t>
      </w:r>
      <w:r w:rsidR="00C74C82" w:rsidRPr="00271EA1">
        <w:rPr>
          <w:rFonts w:ascii="Times New Roman" w:hAnsi="Times New Roman"/>
          <w:sz w:val="24"/>
          <w:szCs w:val="24"/>
        </w:rPr>
        <w:t xml:space="preserve">in tokamak research </w:t>
      </w:r>
      <w:r w:rsidRPr="00271EA1">
        <w:rPr>
          <w:rFonts w:ascii="Times New Roman" w:hAnsi="Times New Roman"/>
          <w:sz w:val="24"/>
          <w:szCs w:val="24"/>
        </w:rPr>
        <w:t>during 2012-2017, a particular focus of the CTP TCP during 2017-2022 will be</w:t>
      </w:r>
      <w:r w:rsidR="000E11AF" w:rsidRPr="00271EA1">
        <w:rPr>
          <w:rFonts w:ascii="Times New Roman" w:hAnsi="Times New Roman"/>
          <w:sz w:val="24"/>
          <w:szCs w:val="24"/>
        </w:rPr>
        <w:t xml:space="preserve"> </w:t>
      </w:r>
      <w:r w:rsidRPr="00271EA1">
        <w:rPr>
          <w:rFonts w:ascii="Times New Roman" w:hAnsi="Times New Roman"/>
          <w:sz w:val="24"/>
          <w:szCs w:val="24"/>
        </w:rPr>
        <w:t xml:space="preserve">the </w:t>
      </w:r>
      <w:r w:rsidR="006932A5" w:rsidRPr="00271EA1">
        <w:rPr>
          <w:rFonts w:ascii="Times New Roman" w:hAnsi="Times New Roman"/>
          <w:sz w:val="24"/>
          <w:szCs w:val="24"/>
        </w:rPr>
        <w:t xml:space="preserve">ITER research </w:t>
      </w:r>
      <w:r w:rsidR="00E6754C" w:rsidRPr="00271EA1">
        <w:rPr>
          <w:rFonts w:ascii="Times New Roman" w:hAnsi="Times New Roman"/>
          <w:sz w:val="24"/>
          <w:szCs w:val="24"/>
        </w:rPr>
        <w:t>priority</w:t>
      </w:r>
      <w:r w:rsidR="006932A5" w:rsidRPr="00271EA1">
        <w:rPr>
          <w:rFonts w:ascii="Times New Roman" w:hAnsi="Times New Roman"/>
          <w:sz w:val="24"/>
          <w:szCs w:val="24"/>
        </w:rPr>
        <w:t xml:space="preserve"> </w:t>
      </w:r>
      <w:r w:rsidRPr="00271EA1">
        <w:rPr>
          <w:rFonts w:ascii="Times New Roman" w:hAnsi="Times New Roman"/>
          <w:sz w:val="24"/>
          <w:szCs w:val="24"/>
        </w:rPr>
        <w:t>areas</w:t>
      </w:r>
      <w:r w:rsidR="000E11AF" w:rsidRPr="00271EA1">
        <w:rPr>
          <w:rFonts w:ascii="Times New Roman" w:hAnsi="Times New Roman"/>
          <w:sz w:val="24"/>
          <w:szCs w:val="24"/>
        </w:rPr>
        <w:t>,</w:t>
      </w:r>
      <w:r w:rsidR="00E6754C" w:rsidRPr="00271EA1">
        <w:rPr>
          <w:rFonts w:ascii="Times New Roman" w:hAnsi="Times New Roman"/>
          <w:sz w:val="24"/>
          <w:szCs w:val="24"/>
        </w:rPr>
        <w:t xml:space="preserve"> addressing the avoidance, control a</w:t>
      </w:r>
      <w:r w:rsidR="000E11AF" w:rsidRPr="00271EA1">
        <w:rPr>
          <w:rFonts w:ascii="Times New Roman" w:hAnsi="Times New Roman"/>
          <w:sz w:val="24"/>
          <w:szCs w:val="24"/>
        </w:rPr>
        <w:t>nd mitigation of the key plasma</w:t>
      </w:r>
      <w:r w:rsidR="00E6754C" w:rsidRPr="00271EA1">
        <w:rPr>
          <w:rFonts w:ascii="Times New Roman" w:hAnsi="Times New Roman"/>
          <w:sz w:val="24"/>
          <w:szCs w:val="24"/>
        </w:rPr>
        <w:t xml:space="preserve"> instabilities</w:t>
      </w:r>
      <w:r w:rsidR="008A668B" w:rsidRPr="00271EA1">
        <w:rPr>
          <w:rFonts w:ascii="Times New Roman" w:hAnsi="Times New Roman"/>
          <w:sz w:val="24"/>
          <w:szCs w:val="24"/>
        </w:rPr>
        <w:t>,</w:t>
      </w:r>
      <w:r w:rsidR="000E11AF" w:rsidRPr="00271EA1">
        <w:rPr>
          <w:rFonts w:ascii="Times New Roman" w:hAnsi="Times New Roman"/>
          <w:sz w:val="24"/>
          <w:szCs w:val="24"/>
        </w:rPr>
        <w:t xml:space="preserve"> protection of the plasma</w:t>
      </w:r>
      <w:r w:rsidR="008A668B" w:rsidRPr="00271EA1">
        <w:rPr>
          <w:rFonts w:ascii="Times New Roman" w:hAnsi="Times New Roman"/>
          <w:sz w:val="24"/>
          <w:szCs w:val="24"/>
        </w:rPr>
        <w:t xml:space="preserve"> facing components and </w:t>
      </w:r>
      <w:r w:rsidR="000C2A21" w:rsidRPr="00271EA1">
        <w:rPr>
          <w:rFonts w:ascii="Times New Roman" w:hAnsi="Times New Roman"/>
          <w:sz w:val="24"/>
          <w:szCs w:val="24"/>
        </w:rPr>
        <w:t>access to good confinement plasma regimes</w:t>
      </w:r>
      <w:r w:rsidR="00391686" w:rsidRPr="00271EA1">
        <w:rPr>
          <w:rFonts w:ascii="Times New Roman" w:hAnsi="Times New Roman"/>
          <w:sz w:val="24"/>
          <w:szCs w:val="24"/>
        </w:rPr>
        <w:t xml:space="preserve"> in ITER</w:t>
      </w:r>
      <w:r w:rsidR="000C2A21" w:rsidRPr="00271EA1">
        <w:rPr>
          <w:rFonts w:ascii="Times New Roman" w:hAnsi="Times New Roman"/>
          <w:sz w:val="24"/>
          <w:szCs w:val="24"/>
        </w:rPr>
        <w:t xml:space="preserve">. </w:t>
      </w:r>
      <w:r w:rsidR="00247D60" w:rsidRPr="00271EA1">
        <w:rPr>
          <w:rFonts w:ascii="Times New Roman" w:hAnsi="Times New Roman"/>
          <w:sz w:val="24"/>
          <w:szCs w:val="24"/>
        </w:rPr>
        <w:t>In particular, a speci</w:t>
      </w:r>
      <w:r w:rsidR="002C7A75" w:rsidRPr="00271EA1">
        <w:rPr>
          <w:rFonts w:ascii="Times New Roman" w:hAnsi="Times New Roman"/>
          <w:sz w:val="24"/>
          <w:szCs w:val="24"/>
        </w:rPr>
        <w:t>fic test for one</w:t>
      </w:r>
      <w:r w:rsidR="00247D60" w:rsidRPr="00271EA1">
        <w:rPr>
          <w:rFonts w:ascii="Times New Roman" w:hAnsi="Times New Roman"/>
          <w:sz w:val="24"/>
          <w:szCs w:val="24"/>
        </w:rPr>
        <w:t xml:space="preserve"> </w:t>
      </w:r>
      <w:r w:rsidR="002C7A75" w:rsidRPr="00271EA1">
        <w:rPr>
          <w:rFonts w:ascii="Times New Roman" w:hAnsi="Times New Roman"/>
          <w:sz w:val="24"/>
          <w:szCs w:val="24"/>
        </w:rPr>
        <w:t xml:space="preserve">of the </w:t>
      </w:r>
      <w:r w:rsidR="00247D60" w:rsidRPr="00271EA1">
        <w:rPr>
          <w:rFonts w:ascii="Times New Roman" w:hAnsi="Times New Roman"/>
          <w:sz w:val="24"/>
          <w:szCs w:val="24"/>
        </w:rPr>
        <w:t xml:space="preserve">systems </w:t>
      </w:r>
      <w:r w:rsidR="002C7A75" w:rsidRPr="00271EA1">
        <w:rPr>
          <w:rFonts w:ascii="Times New Roman" w:hAnsi="Times New Roman"/>
          <w:sz w:val="24"/>
          <w:szCs w:val="24"/>
        </w:rPr>
        <w:t>to be installed in ITER to mitigate the consequences of the</w:t>
      </w:r>
      <w:r w:rsidR="00732074" w:rsidRPr="00271EA1">
        <w:rPr>
          <w:rFonts w:ascii="Times New Roman" w:hAnsi="Times New Roman"/>
          <w:sz w:val="24"/>
          <w:szCs w:val="24"/>
        </w:rPr>
        <w:t xml:space="preserve"> abrupt termination of the plasma “Disruption</w:t>
      </w:r>
      <w:r w:rsidR="00747E73" w:rsidRPr="00271EA1">
        <w:rPr>
          <w:rFonts w:ascii="Times New Roman" w:hAnsi="Times New Roman"/>
          <w:sz w:val="24"/>
          <w:szCs w:val="24"/>
        </w:rPr>
        <w:t>s</w:t>
      </w:r>
      <w:r w:rsidR="00732074" w:rsidRPr="00271EA1">
        <w:rPr>
          <w:rFonts w:ascii="Times New Roman" w:hAnsi="Times New Roman"/>
          <w:sz w:val="24"/>
          <w:szCs w:val="24"/>
        </w:rPr>
        <w:t>” will be installed on JET. This system will use the injection of a</w:t>
      </w:r>
      <w:r w:rsidR="0049720B" w:rsidRPr="00271EA1">
        <w:rPr>
          <w:rFonts w:ascii="Times New Roman" w:hAnsi="Times New Roman"/>
          <w:sz w:val="24"/>
          <w:szCs w:val="24"/>
        </w:rPr>
        <w:t xml:space="preserve"> </w:t>
      </w:r>
      <w:r w:rsidR="00D9279E" w:rsidRPr="00271EA1">
        <w:rPr>
          <w:rFonts w:ascii="Times New Roman" w:hAnsi="Times New Roman"/>
          <w:sz w:val="24"/>
          <w:szCs w:val="24"/>
        </w:rPr>
        <w:t xml:space="preserve">shatter pellet into the plasma and the effectiveness </w:t>
      </w:r>
      <w:r w:rsidR="00D22811" w:rsidRPr="00271EA1">
        <w:rPr>
          <w:rFonts w:ascii="Times New Roman" w:hAnsi="Times New Roman"/>
          <w:sz w:val="24"/>
          <w:szCs w:val="24"/>
        </w:rPr>
        <w:t xml:space="preserve">of </w:t>
      </w:r>
      <w:r w:rsidR="00D9279E" w:rsidRPr="00271EA1">
        <w:rPr>
          <w:rFonts w:ascii="Times New Roman" w:hAnsi="Times New Roman"/>
          <w:sz w:val="24"/>
          <w:szCs w:val="24"/>
        </w:rPr>
        <w:t xml:space="preserve">this </w:t>
      </w:r>
      <w:r w:rsidR="00CD3175" w:rsidRPr="00271EA1">
        <w:rPr>
          <w:rFonts w:ascii="Times New Roman" w:hAnsi="Times New Roman"/>
          <w:sz w:val="24"/>
          <w:szCs w:val="24"/>
        </w:rPr>
        <w:t xml:space="preserve">approach </w:t>
      </w:r>
      <w:r w:rsidR="00AB236F" w:rsidRPr="00271EA1">
        <w:rPr>
          <w:rFonts w:ascii="Times New Roman" w:hAnsi="Times New Roman"/>
          <w:sz w:val="24"/>
          <w:szCs w:val="24"/>
        </w:rPr>
        <w:t xml:space="preserve">will </w:t>
      </w:r>
      <w:r w:rsidR="00D22811" w:rsidRPr="00271EA1">
        <w:rPr>
          <w:rFonts w:ascii="Times New Roman" w:hAnsi="Times New Roman"/>
          <w:sz w:val="24"/>
          <w:szCs w:val="24"/>
        </w:rPr>
        <w:t xml:space="preserve">be </w:t>
      </w:r>
      <w:r w:rsidR="00AB236F" w:rsidRPr="00271EA1">
        <w:rPr>
          <w:rFonts w:ascii="Times New Roman" w:hAnsi="Times New Roman"/>
          <w:sz w:val="24"/>
          <w:szCs w:val="24"/>
        </w:rPr>
        <w:t xml:space="preserve">studied within the CTP TCP. </w:t>
      </w:r>
      <w:r w:rsidR="00732074" w:rsidRPr="00271EA1">
        <w:rPr>
          <w:rFonts w:ascii="Times New Roman" w:hAnsi="Times New Roman"/>
          <w:sz w:val="24"/>
          <w:szCs w:val="24"/>
        </w:rPr>
        <w:t xml:space="preserve"> </w:t>
      </w:r>
      <w:r w:rsidR="002C7A75" w:rsidRPr="00271EA1">
        <w:rPr>
          <w:rFonts w:ascii="Times New Roman" w:hAnsi="Times New Roman"/>
          <w:sz w:val="24"/>
          <w:szCs w:val="24"/>
        </w:rPr>
        <w:t xml:space="preserve">   </w:t>
      </w:r>
      <w:r w:rsidRPr="00271EA1">
        <w:rPr>
          <w:rFonts w:ascii="Times New Roman" w:hAnsi="Times New Roman"/>
          <w:sz w:val="24"/>
          <w:szCs w:val="24"/>
        </w:rPr>
        <w:t xml:space="preserve"> </w:t>
      </w:r>
    </w:p>
    <w:p w14:paraId="36E3C4EA" w14:textId="772C4116" w:rsidR="0065719E" w:rsidRPr="00271EA1" w:rsidRDefault="0065719E" w:rsidP="00271EA1">
      <w:pPr>
        <w:spacing w:before="240" w:after="120" w:line="240" w:lineRule="auto"/>
        <w:jc w:val="both"/>
        <w:rPr>
          <w:rFonts w:ascii="Times New Roman" w:hAnsi="Times New Roman"/>
          <w:b/>
        </w:rPr>
      </w:pPr>
      <w:r w:rsidRPr="00271EA1">
        <w:rPr>
          <w:rFonts w:ascii="Times New Roman" w:hAnsi="Times New Roman"/>
          <w:b/>
        </w:rPr>
        <w:t xml:space="preserve">Meetings and </w:t>
      </w:r>
      <w:r w:rsidR="0033494E" w:rsidRPr="00271EA1">
        <w:rPr>
          <w:rFonts w:ascii="Times New Roman" w:hAnsi="Times New Roman"/>
          <w:b/>
        </w:rPr>
        <w:t>w</w:t>
      </w:r>
      <w:r w:rsidRPr="00271EA1">
        <w:rPr>
          <w:rFonts w:ascii="Times New Roman" w:hAnsi="Times New Roman"/>
          <w:b/>
        </w:rPr>
        <w:t>orkshops</w:t>
      </w:r>
    </w:p>
    <w:p w14:paraId="120B9CD7" w14:textId="61A794FD" w:rsidR="0065719E" w:rsidRPr="00271EA1" w:rsidRDefault="00B5050F" w:rsidP="00271EA1">
      <w:pPr>
        <w:spacing w:after="120" w:line="240" w:lineRule="auto"/>
        <w:jc w:val="both"/>
        <w:rPr>
          <w:rFonts w:ascii="Times New Roman" w:hAnsi="Times New Roman"/>
          <w:sz w:val="24"/>
          <w:szCs w:val="24"/>
        </w:rPr>
      </w:pPr>
      <w:r w:rsidRPr="00271EA1">
        <w:rPr>
          <w:rFonts w:ascii="Times New Roman" w:hAnsi="Times New Roman"/>
          <w:sz w:val="24"/>
          <w:szCs w:val="24"/>
        </w:rPr>
        <w:t xml:space="preserve">The </w:t>
      </w:r>
      <w:r w:rsidR="00A44949" w:rsidRPr="00271EA1">
        <w:rPr>
          <w:rFonts w:ascii="Times New Roman" w:hAnsi="Times New Roman"/>
          <w:sz w:val="24"/>
          <w:szCs w:val="24"/>
        </w:rPr>
        <w:t>CTP TCP</w:t>
      </w:r>
      <w:r w:rsidRPr="00271EA1">
        <w:rPr>
          <w:rFonts w:ascii="Times New Roman" w:hAnsi="Times New Roman"/>
          <w:sz w:val="24"/>
          <w:szCs w:val="24"/>
        </w:rPr>
        <w:t xml:space="preserve"> </w:t>
      </w:r>
      <w:proofErr w:type="spellStart"/>
      <w:r w:rsidR="00B437D0" w:rsidRPr="00271EA1">
        <w:rPr>
          <w:rFonts w:ascii="Times New Roman" w:hAnsi="Times New Roman"/>
          <w:sz w:val="24"/>
          <w:szCs w:val="24"/>
        </w:rPr>
        <w:t>E</w:t>
      </w:r>
      <w:r w:rsidRPr="00271EA1">
        <w:rPr>
          <w:rFonts w:ascii="Times New Roman" w:hAnsi="Times New Roman"/>
          <w:sz w:val="24"/>
          <w:szCs w:val="24"/>
        </w:rPr>
        <w:t>x</w:t>
      </w:r>
      <w:r w:rsidR="0033494E" w:rsidRPr="00271EA1">
        <w:rPr>
          <w:rFonts w:ascii="Times New Roman" w:hAnsi="Times New Roman"/>
          <w:sz w:val="24"/>
          <w:szCs w:val="24"/>
        </w:rPr>
        <w:t>Co</w:t>
      </w:r>
      <w:proofErr w:type="spellEnd"/>
      <w:r w:rsidR="0033494E" w:rsidRPr="00271EA1">
        <w:rPr>
          <w:rFonts w:ascii="Times New Roman" w:hAnsi="Times New Roman"/>
          <w:sz w:val="24"/>
          <w:szCs w:val="24"/>
        </w:rPr>
        <w:t xml:space="preserve"> m</w:t>
      </w:r>
      <w:r w:rsidRPr="00271EA1">
        <w:rPr>
          <w:rFonts w:ascii="Times New Roman" w:hAnsi="Times New Roman"/>
          <w:sz w:val="24"/>
          <w:szCs w:val="24"/>
        </w:rPr>
        <w:t xml:space="preserve">eets annually </w:t>
      </w:r>
      <w:r w:rsidR="00A54BF2" w:rsidRPr="00271EA1">
        <w:rPr>
          <w:rFonts w:ascii="Times New Roman" w:hAnsi="Times New Roman"/>
          <w:sz w:val="24"/>
          <w:szCs w:val="24"/>
        </w:rPr>
        <w:t xml:space="preserve">in December </w:t>
      </w:r>
      <w:r w:rsidRPr="00271EA1">
        <w:rPr>
          <w:rFonts w:ascii="Times New Roman" w:hAnsi="Times New Roman"/>
          <w:sz w:val="24"/>
          <w:szCs w:val="24"/>
        </w:rPr>
        <w:t xml:space="preserve">at </w:t>
      </w:r>
      <w:r w:rsidR="00FF68B3" w:rsidRPr="00271EA1">
        <w:rPr>
          <w:rFonts w:ascii="Times New Roman" w:hAnsi="Times New Roman"/>
          <w:sz w:val="24"/>
          <w:szCs w:val="24"/>
        </w:rPr>
        <w:t xml:space="preserve">the </w:t>
      </w:r>
      <w:r w:rsidRPr="00271EA1">
        <w:rPr>
          <w:rFonts w:ascii="Times New Roman" w:hAnsi="Times New Roman"/>
          <w:sz w:val="24"/>
          <w:szCs w:val="24"/>
        </w:rPr>
        <w:t xml:space="preserve">ITER </w:t>
      </w:r>
      <w:r w:rsidR="00A54BF2" w:rsidRPr="00271EA1">
        <w:rPr>
          <w:rFonts w:ascii="Times New Roman" w:hAnsi="Times New Roman"/>
          <w:sz w:val="24"/>
          <w:szCs w:val="24"/>
        </w:rPr>
        <w:t>Headquarters</w:t>
      </w:r>
      <w:r w:rsidRPr="00271EA1">
        <w:rPr>
          <w:rFonts w:ascii="Times New Roman" w:hAnsi="Times New Roman"/>
          <w:sz w:val="24"/>
          <w:szCs w:val="24"/>
        </w:rPr>
        <w:t>. These meeting</w:t>
      </w:r>
      <w:r w:rsidR="000652A3" w:rsidRPr="00271EA1">
        <w:rPr>
          <w:rFonts w:ascii="Times New Roman" w:hAnsi="Times New Roman"/>
          <w:sz w:val="24"/>
          <w:szCs w:val="24"/>
        </w:rPr>
        <w:t>s</w:t>
      </w:r>
      <w:r w:rsidRPr="00271EA1">
        <w:rPr>
          <w:rFonts w:ascii="Times New Roman" w:hAnsi="Times New Roman"/>
          <w:sz w:val="24"/>
          <w:szCs w:val="24"/>
        </w:rPr>
        <w:t xml:space="preserve"> are organised together with the ITPA Joint Experiments Workshop (JEX) </w:t>
      </w:r>
      <w:r w:rsidR="001F5784" w:rsidRPr="00271EA1">
        <w:rPr>
          <w:rFonts w:ascii="Times New Roman" w:hAnsi="Times New Roman"/>
          <w:sz w:val="24"/>
          <w:szCs w:val="24"/>
        </w:rPr>
        <w:t xml:space="preserve">in </w:t>
      </w:r>
      <w:r w:rsidRPr="00271EA1">
        <w:rPr>
          <w:rFonts w:ascii="Times New Roman" w:hAnsi="Times New Roman"/>
          <w:sz w:val="24"/>
          <w:szCs w:val="24"/>
        </w:rPr>
        <w:t>order to maximise the synergy between the t</w:t>
      </w:r>
      <w:r w:rsidR="00A6731F" w:rsidRPr="00271EA1">
        <w:rPr>
          <w:rFonts w:ascii="Times New Roman" w:hAnsi="Times New Roman"/>
          <w:sz w:val="24"/>
          <w:szCs w:val="24"/>
        </w:rPr>
        <w:t>w</w:t>
      </w:r>
      <w:r w:rsidRPr="00271EA1">
        <w:rPr>
          <w:rFonts w:ascii="Times New Roman" w:hAnsi="Times New Roman"/>
          <w:sz w:val="24"/>
          <w:szCs w:val="24"/>
        </w:rPr>
        <w:t xml:space="preserve">o activities. </w:t>
      </w:r>
      <w:r w:rsidR="001331FD" w:rsidRPr="00271EA1">
        <w:rPr>
          <w:rFonts w:ascii="Times New Roman" w:hAnsi="Times New Roman"/>
          <w:sz w:val="24"/>
          <w:szCs w:val="24"/>
        </w:rPr>
        <w:t xml:space="preserve">International workshops on </w:t>
      </w:r>
      <w:r w:rsidR="000A5AAF" w:rsidRPr="00271EA1">
        <w:rPr>
          <w:rFonts w:ascii="Times New Roman" w:hAnsi="Times New Roman"/>
          <w:sz w:val="24"/>
          <w:szCs w:val="24"/>
        </w:rPr>
        <w:t>“</w:t>
      </w:r>
      <w:r w:rsidR="001331FD" w:rsidRPr="00271EA1">
        <w:rPr>
          <w:rFonts w:ascii="Times New Roman" w:hAnsi="Times New Roman"/>
          <w:sz w:val="24"/>
          <w:szCs w:val="24"/>
        </w:rPr>
        <w:t>Theory and Simulation of Disruptions</w:t>
      </w:r>
      <w:r w:rsidR="000A5AAF" w:rsidRPr="00271EA1">
        <w:rPr>
          <w:rFonts w:ascii="Times New Roman" w:hAnsi="Times New Roman"/>
          <w:sz w:val="24"/>
          <w:szCs w:val="24"/>
        </w:rPr>
        <w:t>”</w:t>
      </w:r>
      <w:r w:rsidR="001331FD" w:rsidRPr="00271EA1">
        <w:rPr>
          <w:rFonts w:ascii="Times New Roman" w:hAnsi="Times New Roman"/>
          <w:sz w:val="24"/>
          <w:szCs w:val="24"/>
        </w:rPr>
        <w:t xml:space="preserve"> </w:t>
      </w:r>
      <w:r w:rsidR="00A54BF2" w:rsidRPr="00271EA1">
        <w:rPr>
          <w:rFonts w:ascii="Times New Roman" w:hAnsi="Times New Roman"/>
          <w:sz w:val="24"/>
          <w:szCs w:val="24"/>
        </w:rPr>
        <w:t xml:space="preserve">(one of the most critical areas for ITER operation) </w:t>
      </w:r>
      <w:r w:rsidR="001331FD" w:rsidRPr="00271EA1">
        <w:rPr>
          <w:rFonts w:ascii="Times New Roman" w:hAnsi="Times New Roman"/>
          <w:sz w:val="24"/>
          <w:szCs w:val="24"/>
        </w:rPr>
        <w:t xml:space="preserve">and </w:t>
      </w:r>
      <w:r w:rsidR="00356629" w:rsidRPr="00271EA1">
        <w:rPr>
          <w:rFonts w:ascii="Times New Roman" w:hAnsi="Times New Roman"/>
          <w:sz w:val="24"/>
          <w:szCs w:val="24"/>
        </w:rPr>
        <w:t xml:space="preserve">on </w:t>
      </w:r>
      <w:r w:rsidR="001331FD" w:rsidRPr="00271EA1">
        <w:rPr>
          <w:rFonts w:ascii="Times New Roman" w:hAnsi="Times New Roman"/>
          <w:sz w:val="24"/>
          <w:szCs w:val="24"/>
        </w:rPr>
        <w:t xml:space="preserve">the coordination of </w:t>
      </w:r>
      <w:r w:rsidR="000A5AAF" w:rsidRPr="00271EA1">
        <w:rPr>
          <w:rFonts w:ascii="Times New Roman" w:hAnsi="Times New Roman"/>
          <w:sz w:val="24"/>
          <w:szCs w:val="24"/>
        </w:rPr>
        <w:t>t</w:t>
      </w:r>
      <w:r w:rsidR="001331FD" w:rsidRPr="00271EA1">
        <w:rPr>
          <w:rFonts w:ascii="Times New Roman" w:hAnsi="Times New Roman"/>
          <w:sz w:val="24"/>
          <w:szCs w:val="24"/>
        </w:rPr>
        <w:t xml:space="preserve">okamak </w:t>
      </w:r>
      <w:r w:rsidR="000A5AAF" w:rsidRPr="00271EA1">
        <w:rPr>
          <w:rFonts w:ascii="Times New Roman" w:hAnsi="Times New Roman"/>
          <w:sz w:val="24"/>
          <w:szCs w:val="24"/>
        </w:rPr>
        <w:t>p</w:t>
      </w:r>
      <w:r w:rsidR="001331FD" w:rsidRPr="00271EA1">
        <w:rPr>
          <w:rFonts w:ascii="Times New Roman" w:hAnsi="Times New Roman"/>
          <w:sz w:val="24"/>
          <w:szCs w:val="24"/>
        </w:rPr>
        <w:t xml:space="preserve">rogrammes will be organised </w:t>
      </w:r>
      <w:r w:rsidR="00870630" w:rsidRPr="00271EA1">
        <w:rPr>
          <w:rFonts w:ascii="Times New Roman" w:hAnsi="Times New Roman"/>
          <w:sz w:val="24"/>
          <w:szCs w:val="24"/>
        </w:rPr>
        <w:t>annually</w:t>
      </w:r>
      <w:r w:rsidR="001331FD" w:rsidRPr="00271EA1">
        <w:rPr>
          <w:rFonts w:ascii="Times New Roman" w:hAnsi="Times New Roman"/>
          <w:sz w:val="24"/>
          <w:szCs w:val="24"/>
        </w:rPr>
        <w:t xml:space="preserve">. </w:t>
      </w:r>
    </w:p>
    <w:p w14:paraId="628C9196" w14:textId="5635A47D" w:rsidR="0065719E" w:rsidRPr="00271EA1" w:rsidRDefault="0033494E" w:rsidP="00D85128">
      <w:pPr>
        <w:spacing w:before="240" w:after="120" w:line="240" w:lineRule="auto"/>
        <w:jc w:val="both"/>
        <w:rPr>
          <w:rFonts w:ascii="Times New Roman" w:hAnsi="Times New Roman"/>
          <w:b/>
        </w:rPr>
      </w:pPr>
      <w:r w:rsidRPr="00271EA1">
        <w:rPr>
          <w:rFonts w:ascii="Times New Roman" w:hAnsi="Times New Roman"/>
          <w:b/>
        </w:rPr>
        <w:t>Membership and o</w:t>
      </w:r>
      <w:r w:rsidR="0065719E" w:rsidRPr="00271EA1">
        <w:rPr>
          <w:rFonts w:ascii="Times New Roman" w:hAnsi="Times New Roman"/>
          <w:b/>
        </w:rPr>
        <w:t>utreach</w:t>
      </w:r>
    </w:p>
    <w:p w14:paraId="45BA0B26" w14:textId="1CDBC054" w:rsidR="005216B7" w:rsidRPr="00271EA1" w:rsidRDefault="0030330D" w:rsidP="00271EA1">
      <w:pPr>
        <w:spacing w:after="120" w:line="240" w:lineRule="auto"/>
        <w:jc w:val="both"/>
        <w:rPr>
          <w:rFonts w:ascii="Times New Roman" w:hAnsi="Times New Roman"/>
          <w:sz w:val="24"/>
          <w:szCs w:val="24"/>
        </w:rPr>
      </w:pPr>
      <w:r w:rsidRPr="00271EA1">
        <w:rPr>
          <w:rFonts w:ascii="Times New Roman" w:hAnsi="Times New Roman"/>
          <w:sz w:val="24"/>
          <w:szCs w:val="24"/>
        </w:rPr>
        <w:t>T</w:t>
      </w:r>
      <w:r w:rsidR="0046700B" w:rsidRPr="00271EA1">
        <w:rPr>
          <w:rFonts w:ascii="Times New Roman" w:hAnsi="Times New Roman"/>
          <w:sz w:val="24"/>
          <w:szCs w:val="24"/>
        </w:rPr>
        <w:t xml:space="preserve">he </w:t>
      </w:r>
      <w:r w:rsidR="00A44949" w:rsidRPr="00271EA1">
        <w:rPr>
          <w:rFonts w:ascii="Times New Roman" w:hAnsi="Times New Roman"/>
          <w:sz w:val="24"/>
          <w:szCs w:val="24"/>
        </w:rPr>
        <w:t>CTP TCP</w:t>
      </w:r>
      <w:r w:rsidR="00B437D0" w:rsidRPr="00271EA1">
        <w:rPr>
          <w:rFonts w:ascii="Times New Roman" w:hAnsi="Times New Roman"/>
          <w:sz w:val="24"/>
          <w:szCs w:val="24"/>
        </w:rPr>
        <w:t xml:space="preserve"> </w:t>
      </w:r>
      <w:proofErr w:type="spellStart"/>
      <w:r w:rsidR="00B437D0" w:rsidRPr="00271EA1">
        <w:rPr>
          <w:rFonts w:ascii="Times New Roman" w:hAnsi="Times New Roman"/>
          <w:sz w:val="24"/>
          <w:szCs w:val="24"/>
        </w:rPr>
        <w:t>Ex</w:t>
      </w:r>
      <w:r w:rsidR="0033494E" w:rsidRPr="00271EA1">
        <w:rPr>
          <w:rFonts w:ascii="Times New Roman" w:hAnsi="Times New Roman"/>
          <w:sz w:val="24"/>
          <w:szCs w:val="24"/>
        </w:rPr>
        <w:t>Co</w:t>
      </w:r>
      <w:proofErr w:type="spellEnd"/>
      <w:r w:rsidR="00995732" w:rsidRPr="00271EA1">
        <w:rPr>
          <w:rFonts w:ascii="Times New Roman" w:hAnsi="Times New Roman"/>
          <w:sz w:val="24"/>
          <w:szCs w:val="24"/>
        </w:rPr>
        <w:t xml:space="preserve"> </w:t>
      </w:r>
      <w:r w:rsidRPr="00271EA1">
        <w:rPr>
          <w:rFonts w:ascii="Times New Roman" w:hAnsi="Times New Roman"/>
          <w:sz w:val="24"/>
          <w:szCs w:val="24"/>
        </w:rPr>
        <w:t>will continue their efforts</w:t>
      </w:r>
      <w:r w:rsidR="0046700B" w:rsidRPr="00271EA1">
        <w:rPr>
          <w:rFonts w:ascii="Times New Roman" w:hAnsi="Times New Roman"/>
          <w:sz w:val="24"/>
          <w:szCs w:val="24"/>
        </w:rPr>
        <w:t xml:space="preserve"> to extend </w:t>
      </w:r>
      <w:r w:rsidR="002A082D" w:rsidRPr="00271EA1">
        <w:rPr>
          <w:rFonts w:ascii="Times New Roman" w:hAnsi="Times New Roman"/>
          <w:sz w:val="24"/>
          <w:szCs w:val="24"/>
        </w:rPr>
        <w:t xml:space="preserve">the </w:t>
      </w:r>
      <w:r w:rsidR="0046700B" w:rsidRPr="00271EA1">
        <w:rPr>
          <w:rFonts w:ascii="Times New Roman" w:hAnsi="Times New Roman"/>
          <w:sz w:val="24"/>
          <w:szCs w:val="24"/>
        </w:rPr>
        <w:t>activities to other member</w:t>
      </w:r>
      <w:r w:rsidR="00B437D0" w:rsidRPr="00271EA1">
        <w:rPr>
          <w:rFonts w:ascii="Times New Roman" w:hAnsi="Times New Roman"/>
          <w:sz w:val="24"/>
          <w:szCs w:val="24"/>
        </w:rPr>
        <w:t>s</w:t>
      </w:r>
      <w:r w:rsidR="0046700B" w:rsidRPr="00271EA1">
        <w:rPr>
          <w:rFonts w:ascii="Times New Roman" w:hAnsi="Times New Roman"/>
          <w:sz w:val="24"/>
          <w:szCs w:val="24"/>
        </w:rPr>
        <w:t xml:space="preserve"> and </w:t>
      </w:r>
      <w:r w:rsidR="00995732" w:rsidRPr="00271EA1">
        <w:rPr>
          <w:rFonts w:ascii="Times New Roman" w:hAnsi="Times New Roman"/>
          <w:sz w:val="24"/>
          <w:szCs w:val="24"/>
        </w:rPr>
        <w:t xml:space="preserve">Partner </w:t>
      </w:r>
      <w:r w:rsidRPr="00271EA1">
        <w:rPr>
          <w:rFonts w:ascii="Times New Roman" w:hAnsi="Times New Roman"/>
          <w:sz w:val="24"/>
          <w:szCs w:val="24"/>
        </w:rPr>
        <w:t>countries and o</w:t>
      </w:r>
      <w:r w:rsidR="0046700B" w:rsidRPr="00271EA1">
        <w:rPr>
          <w:rFonts w:ascii="Times New Roman" w:hAnsi="Times New Roman"/>
          <w:sz w:val="24"/>
          <w:szCs w:val="24"/>
        </w:rPr>
        <w:t xml:space="preserve">bservers </w:t>
      </w:r>
      <w:r w:rsidRPr="00271EA1">
        <w:rPr>
          <w:rFonts w:ascii="Times New Roman" w:hAnsi="Times New Roman"/>
          <w:sz w:val="24"/>
          <w:szCs w:val="24"/>
        </w:rPr>
        <w:t xml:space="preserve">will be invited to attend </w:t>
      </w:r>
      <w:r w:rsidR="005D6543" w:rsidRPr="00271EA1">
        <w:rPr>
          <w:rFonts w:ascii="Times New Roman" w:hAnsi="Times New Roman"/>
          <w:sz w:val="24"/>
          <w:szCs w:val="24"/>
        </w:rPr>
        <w:t>Executive Committee</w:t>
      </w:r>
      <w:r w:rsidR="008747E5" w:rsidRPr="00271EA1">
        <w:rPr>
          <w:rFonts w:ascii="Times New Roman" w:hAnsi="Times New Roman"/>
          <w:sz w:val="24"/>
          <w:szCs w:val="24"/>
        </w:rPr>
        <w:t xml:space="preserve"> </w:t>
      </w:r>
      <w:r w:rsidR="003B4CFA" w:rsidRPr="00271EA1">
        <w:rPr>
          <w:rFonts w:ascii="Times New Roman" w:hAnsi="Times New Roman"/>
          <w:sz w:val="24"/>
          <w:szCs w:val="24"/>
        </w:rPr>
        <w:t>meetings, in particular</w:t>
      </w:r>
      <w:r w:rsidR="008E72C4" w:rsidRPr="00271EA1">
        <w:rPr>
          <w:rFonts w:ascii="Times New Roman" w:hAnsi="Times New Roman"/>
          <w:sz w:val="24"/>
          <w:szCs w:val="24"/>
        </w:rPr>
        <w:t>,</w:t>
      </w:r>
      <w:r w:rsidR="003B4CFA" w:rsidRPr="00271EA1">
        <w:rPr>
          <w:rFonts w:ascii="Times New Roman" w:hAnsi="Times New Roman"/>
          <w:sz w:val="24"/>
          <w:szCs w:val="24"/>
        </w:rPr>
        <w:t xml:space="preserve"> regarding the participation of Russia</w:t>
      </w:r>
      <w:r w:rsidR="009E6E42" w:rsidRPr="00271EA1">
        <w:rPr>
          <w:rFonts w:ascii="Times New Roman" w:hAnsi="Times New Roman"/>
          <w:sz w:val="24"/>
          <w:szCs w:val="24"/>
        </w:rPr>
        <w:t xml:space="preserve"> and Australia</w:t>
      </w:r>
      <w:r w:rsidR="003B4CFA" w:rsidRPr="00271EA1">
        <w:rPr>
          <w:rFonts w:ascii="Times New Roman" w:hAnsi="Times New Roman"/>
          <w:sz w:val="24"/>
          <w:szCs w:val="24"/>
        </w:rPr>
        <w:t xml:space="preserve">. </w:t>
      </w:r>
      <w:r w:rsidR="00B357F3" w:rsidRPr="00271EA1">
        <w:rPr>
          <w:rFonts w:ascii="Times New Roman" w:hAnsi="Times New Roman"/>
          <w:sz w:val="24"/>
          <w:szCs w:val="24"/>
        </w:rPr>
        <w:t xml:space="preserve">The aim is that Australia </w:t>
      </w:r>
      <w:r w:rsidR="004D5014" w:rsidRPr="00271EA1">
        <w:rPr>
          <w:rFonts w:ascii="Times New Roman" w:hAnsi="Times New Roman"/>
          <w:sz w:val="24"/>
          <w:szCs w:val="24"/>
        </w:rPr>
        <w:t>and Russia</w:t>
      </w:r>
      <w:r w:rsidR="008747E5" w:rsidRPr="00271EA1">
        <w:rPr>
          <w:rFonts w:ascii="Times New Roman" w:hAnsi="Times New Roman"/>
          <w:sz w:val="24"/>
          <w:szCs w:val="24"/>
        </w:rPr>
        <w:t xml:space="preserve"> become Contracting Parties </w:t>
      </w:r>
      <w:r w:rsidR="00B357F3" w:rsidRPr="00271EA1">
        <w:rPr>
          <w:rFonts w:ascii="Times New Roman" w:hAnsi="Times New Roman"/>
          <w:sz w:val="24"/>
          <w:szCs w:val="24"/>
        </w:rPr>
        <w:t xml:space="preserve">to the </w:t>
      </w:r>
      <w:r w:rsidR="00A44949" w:rsidRPr="00271EA1">
        <w:rPr>
          <w:rFonts w:ascii="Times New Roman" w:hAnsi="Times New Roman"/>
          <w:sz w:val="24"/>
          <w:szCs w:val="24"/>
        </w:rPr>
        <w:t>CTP TCP</w:t>
      </w:r>
      <w:r w:rsidR="00B357F3" w:rsidRPr="00271EA1">
        <w:rPr>
          <w:rFonts w:ascii="Times New Roman" w:hAnsi="Times New Roman"/>
          <w:sz w:val="24"/>
          <w:szCs w:val="24"/>
        </w:rPr>
        <w:t xml:space="preserve"> </w:t>
      </w:r>
      <w:r w:rsidR="00250302" w:rsidRPr="00271EA1">
        <w:rPr>
          <w:rFonts w:ascii="Times New Roman" w:hAnsi="Times New Roman"/>
          <w:sz w:val="24"/>
          <w:szCs w:val="24"/>
        </w:rPr>
        <w:t>during the next term (2017-2022).</w:t>
      </w:r>
      <w:r w:rsidR="000A5AAF" w:rsidRPr="00271EA1">
        <w:rPr>
          <w:rFonts w:ascii="Times New Roman" w:hAnsi="Times New Roman"/>
          <w:sz w:val="24"/>
          <w:szCs w:val="24"/>
        </w:rPr>
        <w:t xml:space="preserve"> </w:t>
      </w:r>
    </w:p>
    <w:p w14:paraId="7D4E8949" w14:textId="77777777" w:rsidR="00063F75" w:rsidRPr="00271EA1" w:rsidRDefault="00063F75" w:rsidP="00D85128">
      <w:pPr>
        <w:spacing w:before="240" w:after="120" w:line="240" w:lineRule="auto"/>
        <w:jc w:val="both"/>
        <w:rPr>
          <w:rFonts w:ascii="Times New Roman" w:hAnsi="Times New Roman"/>
          <w:b/>
        </w:rPr>
      </w:pPr>
      <w:r w:rsidRPr="00271EA1">
        <w:rPr>
          <w:rFonts w:ascii="Times New Roman" w:hAnsi="Times New Roman"/>
          <w:b/>
        </w:rPr>
        <w:t>Communications and dissemination</w:t>
      </w:r>
    </w:p>
    <w:p w14:paraId="48F5B4D3" w14:textId="02984734" w:rsidR="00E22DEB" w:rsidRPr="00271EA1" w:rsidRDefault="00560B00" w:rsidP="00271EA1">
      <w:pPr>
        <w:spacing w:after="120" w:line="240" w:lineRule="auto"/>
        <w:jc w:val="both"/>
        <w:rPr>
          <w:rFonts w:ascii="Times New Roman" w:hAnsi="Times New Roman"/>
          <w:sz w:val="24"/>
          <w:szCs w:val="24"/>
        </w:rPr>
      </w:pPr>
      <w:r w:rsidRPr="00271EA1">
        <w:rPr>
          <w:rFonts w:ascii="Times New Roman" w:hAnsi="Times New Roman"/>
          <w:sz w:val="24"/>
          <w:szCs w:val="24"/>
        </w:rPr>
        <w:t xml:space="preserve">The results obtained by joint research under the </w:t>
      </w:r>
      <w:r w:rsidR="00A44949" w:rsidRPr="00271EA1">
        <w:rPr>
          <w:rFonts w:ascii="Times New Roman" w:hAnsi="Times New Roman"/>
          <w:sz w:val="24"/>
          <w:szCs w:val="24"/>
        </w:rPr>
        <w:t>CTP TCP</w:t>
      </w:r>
      <w:r w:rsidR="006E6D04" w:rsidRPr="00271EA1">
        <w:rPr>
          <w:rFonts w:ascii="Times New Roman" w:hAnsi="Times New Roman"/>
          <w:sz w:val="24"/>
          <w:szCs w:val="24"/>
        </w:rPr>
        <w:t xml:space="preserve"> </w:t>
      </w:r>
      <w:r w:rsidRPr="00271EA1">
        <w:rPr>
          <w:rFonts w:ascii="Times New Roman" w:hAnsi="Times New Roman"/>
          <w:sz w:val="24"/>
          <w:szCs w:val="24"/>
        </w:rPr>
        <w:t xml:space="preserve">are discussed with the </w:t>
      </w:r>
      <w:r w:rsidR="00A44949" w:rsidRPr="00271EA1">
        <w:rPr>
          <w:rFonts w:ascii="Times New Roman" w:hAnsi="Times New Roman"/>
          <w:sz w:val="24"/>
          <w:szCs w:val="24"/>
        </w:rPr>
        <w:t xml:space="preserve">ITER </w:t>
      </w:r>
      <w:r w:rsidR="00A54BF2" w:rsidRPr="00271EA1">
        <w:rPr>
          <w:rFonts w:ascii="Times New Roman" w:hAnsi="Times New Roman"/>
          <w:sz w:val="24"/>
          <w:szCs w:val="24"/>
        </w:rPr>
        <w:t>IO</w:t>
      </w:r>
      <w:r w:rsidRPr="00271EA1">
        <w:rPr>
          <w:rFonts w:ascii="Times New Roman" w:hAnsi="Times New Roman"/>
          <w:sz w:val="24"/>
          <w:szCs w:val="24"/>
        </w:rPr>
        <w:t xml:space="preserve"> through the ITPA. </w:t>
      </w:r>
      <w:r w:rsidR="00C878E3" w:rsidRPr="00271EA1">
        <w:rPr>
          <w:rFonts w:ascii="Times New Roman" w:hAnsi="Times New Roman"/>
          <w:sz w:val="24"/>
          <w:szCs w:val="24"/>
        </w:rPr>
        <w:t xml:space="preserve">The results of research carried out under the </w:t>
      </w:r>
      <w:r w:rsidR="00A44949" w:rsidRPr="00271EA1">
        <w:rPr>
          <w:rFonts w:ascii="Times New Roman" w:hAnsi="Times New Roman"/>
          <w:sz w:val="24"/>
          <w:szCs w:val="24"/>
        </w:rPr>
        <w:t>CTP TCP</w:t>
      </w:r>
      <w:r w:rsidR="00C878E3" w:rsidRPr="00271EA1">
        <w:rPr>
          <w:rFonts w:ascii="Times New Roman" w:hAnsi="Times New Roman"/>
          <w:sz w:val="24"/>
          <w:szCs w:val="24"/>
        </w:rPr>
        <w:t xml:space="preserve"> will be reported widely at international conferences and workshops and in leading journals. The website will continue to be developed (</w:t>
      </w:r>
      <w:hyperlink r:id="rId7" w:history="1">
        <w:r w:rsidR="00C878E3" w:rsidRPr="00271EA1">
          <w:rPr>
            <w:rStyle w:val="Hyperlink"/>
            <w:rFonts w:ascii="Times New Roman" w:hAnsi="Times New Roman"/>
            <w:color w:val="auto"/>
            <w:sz w:val="24"/>
            <w:szCs w:val="24"/>
          </w:rPr>
          <w:t>http://ctp.jet.efda.org/lt/)</w:t>
        </w:r>
      </w:hyperlink>
      <w:r w:rsidR="00C878E3" w:rsidRPr="00271EA1">
        <w:rPr>
          <w:rFonts w:ascii="Times New Roman" w:hAnsi="Times New Roman"/>
          <w:sz w:val="24"/>
          <w:szCs w:val="24"/>
        </w:rPr>
        <w:t xml:space="preserve">. The </w:t>
      </w:r>
      <w:r w:rsidR="00A44949" w:rsidRPr="00271EA1">
        <w:rPr>
          <w:rFonts w:ascii="Times New Roman" w:hAnsi="Times New Roman"/>
          <w:sz w:val="24"/>
          <w:szCs w:val="24"/>
        </w:rPr>
        <w:t>CTP TCP</w:t>
      </w:r>
      <w:r w:rsidR="00C878E3" w:rsidRPr="00271EA1">
        <w:rPr>
          <w:rFonts w:ascii="Times New Roman" w:hAnsi="Times New Roman"/>
          <w:sz w:val="24"/>
          <w:szCs w:val="24"/>
        </w:rPr>
        <w:t xml:space="preserve"> will continue to generate articles for inclusion in the IEA biennial publication </w:t>
      </w:r>
      <w:r w:rsidR="00C878E3" w:rsidRPr="00271EA1">
        <w:rPr>
          <w:rFonts w:ascii="Times New Roman" w:hAnsi="Times New Roman"/>
          <w:i/>
          <w:sz w:val="24"/>
          <w:szCs w:val="24"/>
        </w:rPr>
        <w:t>Technology Collaboration Programmes</w:t>
      </w:r>
      <w:r w:rsidR="00C878E3" w:rsidRPr="00271EA1">
        <w:rPr>
          <w:rFonts w:ascii="Times New Roman" w:hAnsi="Times New Roman"/>
          <w:sz w:val="24"/>
          <w:szCs w:val="24"/>
        </w:rPr>
        <w:t>.</w:t>
      </w:r>
      <w:r w:rsidR="00A44949" w:rsidRPr="00271EA1">
        <w:rPr>
          <w:rFonts w:ascii="Times New Roman" w:hAnsi="Times New Roman"/>
          <w:sz w:val="24"/>
          <w:szCs w:val="24"/>
        </w:rPr>
        <w:t xml:space="preserve"> Now that the website is active, the CTP TCP plans to announce developments through the </w:t>
      </w:r>
      <w:hyperlink r:id="rId8" w:history="1">
        <w:r w:rsidR="00A44949" w:rsidRPr="00271EA1">
          <w:rPr>
            <w:rStyle w:val="Hyperlink"/>
            <w:i/>
            <w:color w:val="auto"/>
          </w:rPr>
          <w:t>OPEN Bulletin</w:t>
        </w:r>
        <w:r w:rsidR="00A44949" w:rsidRPr="00271EA1">
          <w:rPr>
            <w:rStyle w:val="Hyperlink"/>
            <w:rFonts w:ascii="Times New Roman" w:hAnsi="Times New Roman"/>
            <w:color w:val="auto"/>
            <w:sz w:val="24"/>
            <w:szCs w:val="24"/>
          </w:rPr>
          <w:t>.</w:t>
        </w:r>
      </w:hyperlink>
      <w:r w:rsidR="00A44949" w:rsidRPr="00271EA1">
        <w:rPr>
          <w:rFonts w:ascii="Times New Roman" w:hAnsi="Times New Roman"/>
          <w:sz w:val="24"/>
          <w:szCs w:val="24"/>
        </w:rPr>
        <w:t xml:space="preserve"> </w:t>
      </w:r>
    </w:p>
    <w:p w14:paraId="04281638" w14:textId="77777777" w:rsidR="00747E73" w:rsidRPr="00271EA1" w:rsidRDefault="00747E73" w:rsidP="00271EA1">
      <w:pPr>
        <w:spacing w:after="120" w:line="240" w:lineRule="auto"/>
        <w:jc w:val="both"/>
        <w:rPr>
          <w:rFonts w:ascii="Times New Roman" w:hAnsi="Times New Roman"/>
          <w:sz w:val="24"/>
          <w:szCs w:val="24"/>
        </w:rPr>
      </w:pPr>
    </w:p>
    <w:sectPr w:rsidR="00747E73" w:rsidRPr="00271EA1" w:rsidSect="00271EA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A9E18" w14:textId="77777777" w:rsidR="00212C30" w:rsidRDefault="00212C30" w:rsidP="00EF0515">
      <w:pPr>
        <w:spacing w:after="0" w:line="240" w:lineRule="auto"/>
      </w:pPr>
      <w:r>
        <w:separator/>
      </w:r>
    </w:p>
  </w:endnote>
  <w:endnote w:type="continuationSeparator" w:id="0">
    <w:p w14:paraId="5D8E298A" w14:textId="77777777" w:rsidR="00212C30" w:rsidRDefault="00212C30" w:rsidP="00EF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1B82" w14:textId="77777777" w:rsidR="00145853" w:rsidRDefault="001458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222FD" w14:textId="77777777" w:rsidR="00145853" w:rsidRDefault="001458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844D" w14:textId="77777777" w:rsidR="00145853" w:rsidRDefault="001458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D59F5" w14:textId="77777777" w:rsidR="00212C30" w:rsidRDefault="00212C30" w:rsidP="00EF0515">
      <w:pPr>
        <w:spacing w:after="0" w:line="240" w:lineRule="auto"/>
      </w:pPr>
      <w:r>
        <w:separator/>
      </w:r>
    </w:p>
  </w:footnote>
  <w:footnote w:type="continuationSeparator" w:id="0">
    <w:p w14:paraId="2B291DC8" w14:textId="77777777" w:rsidR="00212C30" w:rsidRDefault="00212C30" w:rsidP="00EF05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E6DA7" w14:textId="77777777" w:rsidR="00145853" w:rsidRDefault="001458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AADE" w14:textId="53362336" w:rsidR="00BB51D5" w:rsidRPr="00D85128" w:rsidRDefault="00BB51D5" w:rsidP="00145853">
    <w:pPr>
      <w:pStyle w:val="Header"/>
      <w:rPr>
        <w:rFonts w:ascii="Times New Roman" w:hAnsi="Times New Roman"/>
        <w:b/>
        <w:lang w:val="en-US"/>
      </w:rP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2AE2" w14:textId="77777777" w:rsidR="00145853" w:rsidRDefault="001458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B24DA"/>
    <w:multiLevelType w:val="hybridMultilevel"/>
    <w:tmpl w:val="FE78CDFE"/>
    <w:lvl w:ilvl="0" w:tplc="C4082384">
      <w:start w:val="1"/>
      <w:numFmt w:val="lowerRoman"/>
      <w:lvlText w:val="(%1)"/>
      <w:lvlJc w:val="left"/>
      <w:pPr>
        <w:ind w:left="3480" w:hanging="720"/>
      </w:pPr>
      <w:rPr>
        <w:rFonts w:hint="default"/>
      </w:rPr>
    </w:lvl>
    <w:lvl w:ilvl="1" w:tplc="08090019" w:tentative="1">
      <w:start w:val="1"/>
      <w:numFmt w:val="lowerLetter"/>
      <w:lvlText w:val="%2."/>
      <w:lvlJc w:val="left"/>
      <w:pPr>
        <w:ind w:left="3840" w:hanging="360"/>
      </w:pPr>
    </w:lvl>
    <w:lvl w:ilvl="2" w:tplc="0809001B" w:tentative="1">
      <w:start w:val="1"/>
      <w:numFmt w:val="lowerRoman"/>
      <w:lvlText w:val="%3."/>
      <w:lvlJc w:val="right"/>
      <w:pPr>
        <w:ind w:left="4560" w:hanging="180"/>
      </w:pPr>
    </w:lvl>
    <w:lvl w:ilvl="3" w:tplc="0809000F" w:tentative="1">
      <w:start w:val="1"/>
      <w:numFmt w:val="decimal"/>
      <w:lvlText w:val="%4."/>
      <w:lvlJc w:val="left"/>
      <w:pPr>
        <w:ind w:left="5280" w:hanging="360"/>
      </w:pPr>
    </w:lvl>
    <w:lvl w:ilvl="4" w:tplc="08090019" w:tentative="1">
      <w:start w:val="1"/>
      <w:numFmt w:val="lowerLetter"/>
      <w:lvlText w:val="%5."/>
      <w:lvlJc w:val="left"/>
      <w:pPr>
        <w:ind w:left="6000" w:hanging="360"/>
      </w:pPr>
    </w:lvl>
    <w:lvl w:ilvl="5" w:tplc="0809001B" w:tentative="1">
      <w:start w:val="1"/>
      <w:numFmt w:val="lowerRoman"/>
      <w:lvlText w:val="%6."/>
      <w:lvlJc w:val="right"/>
      <w:pPr>
        <w:ind w:left="6720" w:hanging="180"/>
      </w:pPr>
    </w:lvl>
    <w:lvl w:ilvl="6" w:tplc="0809000F" w:tentative="1">
      <w:start w:val="1"/>
      <w:numFmt w:val="decimal"/>
      <w:lvlText w:val="%7."/>
      <w:lvlJc w:val="left"/>
      <w:pPr>
        <w:ind w:left="7440" w:hanging="360"/>
      </w:pPr>
    </w:lvl>
    <w:lvl w:ilvl="7" w:tplc="08090019" w:tentative="1">
      <w:start w:val="1"/>
      <w:numFmt w:val="lowerLetter"/>
      <w:lvlText w:val="%8."/>
      <w:lvlJc w:val="left"/>
      <w:pPr>
        <w:ind w:left="8160" w:hanging="360"/>
      </w:pPr>
    </w:lvl>
    <w:lvl w:ilvl="8" w:tplc="0809001B" w:tentative="1">
      <w:start w:val="1"/>
      <w:numFmt w:val="lowerRoman"/>
      <w:lvlText w:val="%9."/>
      <w:lvlJc w:val="right"/>
      <w:pPr>
        <w:ind w:left="8880" w:hanging="180"/>
      </w:pPr>
    </w:lvl>
  </w:abstractNum>
  <w:abstractNum w:abstractNumId="1">
    <w:nsid w:val="5D92690B"/>
    <w:multiLevelType w:val="hybridMultilevel"/>
    <w:tmpl w:val="6E482AF2"/>
    <w:lvl w:ilvl="0" w:tplc="317CB328">
      <w:numFmt w:val="bullet"/>
      <w:lvlText w:val="•"/>
      <w:lvlJc w:val="left"/>
      <w:pPr>
        <w:ind w:left="1080" w:hanging="72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F06CFF"/>
    <w:multiLevelType w:val="hybridMultilevel"/>
    <w:tmpl w:val="6ED8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C6C63"/>
    <w:multiLevelType w:val="hybridMultilevel"/>
    <w:tmpl w:val="B64AC03A"/>
    <w:lvl w:ilvl="0" w:tplc="317CB328">
      <w:numFmt w:val="bullet"/>
      <w:lvlText w:val="•"/>
      <w:lvlJc w:val="left"/>
      <w:pPr>
        <w:ind w:left="1080" w:hanging="72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64570A"/>
    <w:multiLevelType w:val="hybridMultilevel"/>
    <w:tmpl w:val="BDE2F9F4"/>
    <w:lvl w:ilvl="0" w:tplc="317CB328">
      <w:numFmt w:val="bullet"/>
      <w:lvlText w:val="•"/>
      <w:lvlJc w:val="left"/>
      <w:pPr>
        <w:ind w:left="1080" w:hanging="72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9E"/>
    <w:rsid w:val="00004D0B"/>
    <w:rsid w:val="00017E14"/>
    <w:rsid w:val="00020920"/>
    <w:rsid w:val="000262FB"/>
    <w:rsid w:val="00035719"/>
    <w:rsid w:val="0004595B"/>
    <w:rsid w:val="000605EC"/>
    <w:rsid w:val="00063F75"/>
    <w:rsid w:val="000652A3"/>
    <w:rsid w:val="00065D13"/>
    <w:rsid w:val="000758C9"/>
    <w:rsid w:val="000A5AAF"/>
    <w:rsid w:val="000B059A"/>
    <w:rsid w:val="000C2A21"/>
    <w:rsid w:val="000C55F6"/>
    <w:rsid w:val="000E11AF"/>
    <w:rsid w:val="000E14DB"/>
    <w:rsid w:val="000E5798"/>
    <w:rsid w:val="000F103C"/>
    <w:rsid w:val="000F7DE8"/>
    <w:rsid w:val="00114F8B"/>
    <w:rsid w:val="00121B62"/>
    <w:rsid w:val="001255B2"/>
    <w:rsid w:val="001331FD"/>
    <w:rsid w:val="00145853"/>
    <w:rsid w:val="00154705"/>
    <w:rsid w:val="00164C92"/>
    <w:rsid w:val="001805B2"/>
    <w:rsid w:val="00191B2B"/>
    <w:rsid w:val="001A2FA9"/>
    <w:rsid w:val="001B3812"/>
    <w:rsid w:val="001B3827"/>
    <w:rsid w:val="001C147B"/>
    <w:rsid w:val="001D2797"/>
    <w:rsid w:val="001E407B"/>
    <w:rsid w:val="001F5784"/>
    <w:rsid w:val="002007D2"/>
    <w:rsid w:val="00201462"/>
    <w:rsid w:val="00212C30"/>
    <w:rsid w:val="00227D52"/>
    <w:rsid w:val="00227D71"/>
    <w:rsid w:val="00244ABF"/>
    <w:rsid w:val="00247D60"/>
    <w:rsid w:val="00250302"/>
    <w:rsid w:val="00253028"/>
    <w:rsid w:val="002713D7"/>
    <w:rsid w:val="00271EA1"/>
    <w:rsid w:val="002731AF"/>
    <w:rsid w:val="002A082D"/>
    <w:rsid w:val="002B4588"/>
    <w:rsid w:val="002C7A75"/>
    <w:rsid w:val="002E612F"/>
    <w:rsid w:val="002F0AA1"/>
    <w:rsid w:val="0030330D"/>
    <w:rsid w:val="003078A5"/>
    <w:rsid w:val="0031604B"/>
    <w:rsid w:val="0033494E"/>
    <w:rsid w:val="00356629"/>
    <w:rsid w:val="003570BB"/>
    <w:rsid w:val="00362B16"/>
    <w:rsid w:val="0037492F"/>
    <w:rsid w:val="00382886"/>
    <w:rsid w:val="003850CB"/>
    <w:rsid w:val="00391686"/>
    <w:rsid w:val="00394375"/>
    <w:rsid w:val="003B4CFA"/>
    <w:rsid w:val="003C0960"/>
    <w:rsid w:val="003E3926"/>
    <w:rsid w:val="004029DF"/>
    <w:rsid w:val="004037F5"/>
    <w:rsid w:val="00414D2F"/>
    <w:rsid w:val="00436CCB"/>
    <w:rsid w:val="00441945"/>
    <w:rsid w:val="0046700B"/>
    <w:rsid w:val="004778DA"/>
    <w:rsid w:val="00482CCC"/>
    <w:rsid w:val="0049615C"/>
    <w:rsid w:val="0049720B"/>
    <w:rsid w:val="004A682F"/>
    <w:rsid w:val="004D05CA"/>
    <w:rsid w:val="004D0FA3"/>
    <w:rsid w:val="004D402C"/>
    <w:rsid w:val="004D5014"/>
    <w:rsid w:val="004E536F"/>
    <w:rsid w:val="00510018"/>
    <w:rsid w:val="005144C9"/>
    <w:rsid w:val="005216B7"/>
    <w:rsid w:val="00524FDE"/>
    <w:rsid w:val="005447CC"/>
    <w:rsid w:val="00560B00"/>
    <w:rsid w:val="005B2634"/>
    <w:rsid w:val="005B7CC2"/>
    <w:rsid w:val="005D6543"/>
    <w:rsid w:val="005F2F7C"/>
    <w:rsid w:val="00604A41"/>
    <w:rsid w:val="0060795E"/>
    <w:rsid w:val="00622BEC"/>
    <w:rsid w:val="006477EB"/>
    <w:rsid w:val="0065719E"/>
    <w:rsid w:val="006771C3"/>
    <w:rsid w:val="006833DB"/>
    <w:rsid w:val="006932A5"/>
    <w:rsid w:val="006B797F"/>
    <w:rsid w:val="006C7AA9"/>
    <w:rsid w:val="006E6D04"/>
    <w:rsid w:val="006F16CD"/>
    <w:rsid w:val="007063D8"/>
    <w:rsid w:val="00716EAD"/>
    <w:rsid w:val="00721839"/>
    <w:rsid w:val="00732074"/>
    <w:rsid w:val="0074516C"/>
    <w:rsid w:val="00747E73"/>
    <w:rsid w:val="00763D6C"/>
    <w:rsid w:val="007711EF"/>
    <w:rsid w:val="00782FF6"/>
    <w:rsid w:val="007939BD"/>
    <w:rsid w:val="007A17F5"/>
    <w:rsid w:val="007A1B67"/>
    <w:rsid w:val="007C15F4"/>
    <w:rsid w:val="007D0F95"/>
    <w:rsid w:val="007D1E29"/>
    <w:rsid w:val="007D3C23"/>
    <w:rsid w:val="00815E38"/>
    <w:rsid w:val="008229C6"/>
    <w:rsid w:val="00827CB3"/>
    <w:rsid w:val="008337A0"/>
    <w:rsid w:val="00870553"/>
    <w:rsid w:val="00870630"/>
    <w:rsid w:val="00870C5D"/>
    <w:rsid w:val="008747E5"/>
    <w:rsid w:val="00877EA7"/>
    <w:rsid w:val="008A668B"/>
    <w:rsid w:val="008B0003"/>
    <w:rsid w:val="008C1EEE"/>
    <w:rsid w:val="008E72C4"/>
    <w:rsid w:val="008F645F"/>
    <w:rsid w:val="009052D3"/>
    <w:rsid w:val="00905623"/>
    <w:rsid w:val="00920DE1"/>
    <w:rsid w:val="00960C15"/>
    <w:rsid w:val="0096261C"/>
    <w:rsid w:val="00965225"/>
    <w:rsid w:val="0097193B"/>
    <w:rsid w:val="00987F7A"/>
    <w:rsid w:val="00995732"/>
    <w:rsid w:val="009A6A33"/>
    <w:rsid w:val="009D5E24"/>
    <w:rsid w:val="009D645C"/>
    <w:rsid w:val="009D677C"/>
    <w:rsid w:val="009E00AC"/>
    <w:rsid w:val="009E16EC"/>
    <w:rsid w:val="009E6E42"/>
    <w:rsid w:val="00A00E4D"/>
    <w:rsid w:val="00A0116C"/>
    <w:rsid w:val="00A01759"/>
    <w:rsid w:val="00A01F5E"/>
    <w:rsid w:val="00A06A1D"/>
    <w:rsid w:val="00A11202"/>
    <w:rsid w:val="00A312C9"/>
    <w:rsid w:val="00A44949"/>
    <w:rsid w:val="00A531EA"/>
    <w:rsid w:val="00A54BF2"/>
    <w:rsid w:val="00A57D71"/>
    <w:rsid w:val="00A6731F"/>
    <w:rsid w:val="00A77BBC"/>
    <w:rsid w:val="00A86B4A"/>
    <w:rsid w:val="00AA06C3"/>
    <w:rsid w:val="00AA4E00"/>
    <w:rsid w:val="00AB22E8"/>
    <w:rsid w:val="00AB236F"/>
    <w:rsid w:val="00AB2A03"/>
    <w:rsid w:val="00AB4FC2"/>
    <w:rsid w:val="00AB79F7"/>
    <w:rsid w:val="00AC2415"/>
    <w:rsid w:val="00AD1788"/>
    <w:rsid w:val="00AD5840"/>
    <w:rsid w:val="00B04264"/>
    <w:rsid w:val="00B17F13"/>
    <w:rsid w:val="00B357F3"/>
    <w:rsid w:val="00B3658B"/>
    <w:rsid w:val="00B437D0"/>
    <w:rsid w:val="00B5050F"/>
    <w:rsid w:val="00B56A9F"/>
    <w:rsid w:val="00B736C7"/>
    <w:rsid w:val="00B76AF5"/>
    <w:rsid w:val="00B8031D"/>
    <w:rsid w:val="00B85875"/>
    <w:rsid w:val="00B91529"/>
    <w:rsid w:val="00B957E6"/>
    <w:rsid w:val="00BA61AF"/>
    <w:rsid w:val="00BB51D5"/>
    <w:rsid w:val="00BD5035"/>
    <w:rsid w:val="00BF3307"/>
    <w:rsid w:val="00C156CD"/>
    <w:rsid w:val="00C20F2A"/>
    <w:rsid w:val="00C47BAE"/>
    <w:rsid w:val="00C535EE"/>
    <w:rsid w:val="00C74C82"/>
    <w:rsid w:val="00C878E3"/>
    <w:rsid w:val="00CA6180"/>
    <w:rsid w:val="00CB7FBA"/>
    <w:rsid w:val="00CC3751"/>
    <w:rsid w:val="00CC79A0"/>
    <w:rsid w:val="00CD3175"/>
    <w:rsid w:val="00CE2334"/>
    <w:rsid w:val="00D12015"/>
    <w:rsid w:val="00D20C60"/>
    <w:rsid w:val="00D22811"/>
    <w:rsid w:val="00D27D81"/>
    <w:rsid w:val="00D456BE"/>
    <w:rsid w:val="00D524E4"/>
    <w:rsid w:val="00D63AF4"/>
    <w:rsid w:val="00D707A4"/>
    <w:rsid w:val="00D85128"/>
    <w:rsid w:val="00D9279E"/>
    <w:rsid w:val="00DA64DE"/>
    <w:rsid w:val="00DB6955"/>
    <w:rsid w:val="00DC5E7D"/>
    <w:rsid w:val="00DD4AAD"/>
    <w:rsid w:val="00DF0E51"/>
    <w:rsid w:val="00E00A01"/>
    <w:rsid w:val="00E22DEB"/>
    <w:rsid w:val="00E565E9"/>
    <w:rsid w:val="00E65214"/>
    <w:rsid w:val="00E6754C"/>
    <w:rsid w:val="00E73DB2"/>
    <w:rsid w:val="00E75CEC"/>
    <w:rsid w:val="00E77D7F"/>
    <w:rsid w:val="00E84AF5"/>
    <w:rsid w:val="00EA026B"/>
    <w:rsid w:val="00EB492B"/>
    <w:rsid w:val="00EB50D9"/>
    <w:rsid w:val="00EE0FA9"/>
    <w:rsid w:val="00EE3543"/>
    <w:rsid w:val="00EE55B4"/>
    <w:rsid w:val="00EF0515"/>
    <w:rsid w:val="00EF06A0"/>
    <w:rsid w:val="00F12AA1"/>
    <w:rsid w:val="00F25815"/>
    <w:rsid w:val="00F364B3"/>
    <w:rsid w:val="00F37F9E"/>
    <w:rsid w:val="00F559B4"/>
    <w:rsid w:val="00F56748"/>
    <w:rsid w:val="00F57D01"/>
    <w:rsid w:val="00F67C3B"/>
    <w:rsid w:val="00FC2396"/>
    <w:rsid w:val="00FC5A1B"/>
    <w:rsid w:val="00FC6C81"/>
    <w:rsid w:val="00FF68B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D2A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59"/>
    <w:pPr>
      <w:ind w:left="720"/>
      <w:contextualSpacing/>
    </w:pPr>
    <w:rPr>
      <w:rFonts w:ascii="Constantia" w:hAnsi="Constantia"/>
      <w:lang w:eastAsia="en-US"/>
    </w:rPr>
  </w:style>
  <w:style w:type="character" w:styleId="Hyperlink">
    <w:name w:val="Hyperlink"/>
    <w:uiPriority w:val="99"/>
    <w:unhideWhenUsed/>
    <w:rsid w:val="00E84AF5"/>
    <w:rPr>
      <w:color w:val="0000FF"/>
      <w:u w:val="single"/>
    </w:rPr>
  </w:style>
  <w:style w:type="character" w:styleId="FollowedHyperlink">
    <w:name w:val="FollowedHyperlink"/>
    <w:basedOn w:val="DefaultParagraphFont"/>
    <w:uiPriority w:val="99"/>
    <w:semiHidden/>
    <w:unhideWhenUsed/>
    <w:rsid w:val="00E84AF5"/>
    <w:rPr>
      <w:color w:val="800080" w:themeColor="followedHyperlink"/>
      <w:u w:val="single"/>
    </w:rPr>
  </w:style>
  <w:style w:type="paragraph" w:styleId="Header">
    <w:name w:val="header"/>
    <w:basedOn w:val="Normal"/>
    <w:link w:val="HeaderChar"/>
    <w:uiPriority w:val="99"/>
    <w:unhideWhenUsed/>
    <w:rsid w:val="00EF0515"/>
    <w:pPr>
      <w:tabs>
        <w:tab w:val="center" w:pos="4252"/>
        <w:tab w:val="right" w:pos="8504"/>
      </w:tabs>
      <w:snapToGrid w:val="0"/>
    </w:pPr>
  </w:style>
  <w:style w:type="character" w:customStyle="1" w:styleId="HeaderChar">
    <w:name w:val="Header Char"/>
    <w:basedOn w:val="DefaultParagraphFont"/>
    <w:link w:val="Header"/>
    <w:uiPriority w:val="99"/>
    <w:rsid w:val="00EF0515"/>
    <w:rPr>
      <w:sz w:val="22"/>
      <w:szCs w:val="22"/>
    </w:rPr>
  </w:style>
  <w:style w:type="paragraph" w:styleId="Footer">
    <w:name w:val="footer"/>
    <w:basedOn w:val="Normal"/>
    <w:link w:val="FooterChar"/>
    <w:uiPriority w:val="99"/>
    <w:unhideWhenUsed/>
    <w:rsid w:val="00EF0515"/>
    <w:pPr>
      <w:tabs>
        <w:tab w:val="center" w:pos="4252"/>
        <w:tab w:val="right" w:pos="8504"/>
      </w:tabs>
      <w:snapToGrid w:val="0"/>
    </w:pPr>
  </w:style>
  <w:style w:type="character" w:customStyle="1" w:styleId="FooterChar">
    <w:name w:val="Footer Char"/>
    <w:basedOn w:val="DefaultParagraphFont"/>
    <w:link w:val="Footer"/>
    <w:uiPriority w:val="99"/>
    <w:rsid w:val="00EF0515"/>
    <w:rPr>
      <w:sz w:val="22"/>
      <w:szCs w:val="22"/>
    </w:rPr>
  </w:style>
  <w:style w:type="paragraph" w:styleId="BalloonText">
    <w:name w:val="Balloon Text"/>
    <w:basedOn w:val="Normal"/>
    <w:link w:val="BalloonTextChar"/>
    <w:uiPriority w:val="99"/>
    <w:semiHidden/>
    <w:unhideWhenUsed/>
    <w:rsid w:val="00164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C92"/>
    <w:rPr>
      <w:rFonts w:ascii="Tahoma" w:hAnsi="Tahoma" w:cs="Tahoma"/>
      <w:sz w:val="16"/>
      <w:szCs w:val="16"/>
    </w:rPr>
  </w:style>
  <w:style w:type="character" w:styleId="CommentReference">
    <w:name w:val="annotation reference"/>
    <w:basedOn w:val="DefaultParagraphFont"/>
    <w:uiPriority w:val="99"/>
    <w:semiHidden/>
    <w:unhideWhenUsed/>
    <w:rsid w:val="00510018"/>
    <w:rPr>
      <w:sz w:val="16"/>
      <w:szCs w:val="16"/>
    </w:rPr>
  </w:style>
  <w:style w:type="paragraph" w:styleId="CommentText">
    <w:name w:val="annotation text"/>
    <w:basedOn w:val="Normal"/>
    <w:link w:val="CommentTextChar"/>
    <w:uiPriority w:val="99"/>
    <w:semiHidden/>
    <w:unhideWhenUsed/>
    <w:rsid w:val="00510018"/>
    <w:pPr>
      <w:spacing w:line="240" w:lineRule="auto"/>
    </w:pPr>
    <w:rPr>
      <w:sz w:val="20"/>
      <w:szCs w:val="20"/>
    </w:rPr>
  </w:style>
  <w:style w:type="character" w:customStyle="1" w:styleId="CommentTextChar">
    <w:name w:val="Comment Text Char"/>
    <w:basedOn w:val="DefaultParagraphFont"/>
    <w:link w:val="CommentText"/>
    <w:uiPriority w:val="99"/>
    <w:semiHidden/>
    <w:rsid w:val="00510018"/>
  </w:style>
  <w:style w:type="paragraph" w:styleId="CommentSubject">
    <w:name w:val="annotation subject"/>
    <w:basedOn w:val="CommentText"/>
    <w:next w:val="CommentText"/>
    <w:link w:val="CommentSubjectChar"/>
    <w:uiPriority w:val="99"/>
    <w:semiHidden/>
    <w:unhideWhenUsed/>
    <w:rsid w:val="00510018"/>
    <w:rPr>
      <w:b/>
      <w:bCs/>
    </w:rPr>
  </w:style>
  <w:style w:type="character" w:customStyle="1" w:styleId="CommentSubjectChar">
    <w:name w:val="Comment Subject Char"/>
    <w:basedOn w:val="CommentTextChar"/>
    <w:link w:val="CommentSubject"/>
    <w:uiPriority w:val="99"/>
    <w:semiHidden/>
    <w:rsid w:val="00510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0514">
      <w:bodyDiv w:val="1"/>
      <w:marLeft w:val="0"/>
      <w:marRight w:val="0"/>
      <w:marTop w:val="0"/>
      <w:marBottom w:val="0"/>
      <w:divBdr>
        <w:top w:val="none" w:sz="0" w:space="0" w:color="auto"/>
        <w:left w:val="none" w:sz="0" w:space="0" w:color="auto"/>
        <w:bottom w:val="none" w:sz="0" w:space="0" w:color="auto"/>
        <w:right w:val="none" w:sz="0" w:space="0" w:color="auto"/>
      </w:divBdr>
    </w:div>
    <w:div w:id="729184150">
      <w:bodyDiv w:val="1"/>
      <w:marLeft w:val="0"/>
      <w:marRight w:val="0"/>
      <w:marTop w:val="0"/>
      <w:marBottom w:val="0"/>
      <w:divBdr>
        <w:top w:val="none" w:sz="0" w:space="0" w:color="auto"/>
        <w:left w:val="none" w:sz="0" w:space="0" w:color="auto"/>
        <w:bottom w:val="none" w:sz="0" w:space="0" w:color="auto"/>
        <w:right w:val="none" w:sz="0" w:space="0" w:color="auto"/>
      </w:divBdr>
      <w:divsChild>
        <w:div w:id="65414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tp.jet.efda.org/lt/)" TargetMode="External"/><Relationship Id="rId8" Type="http://schemas.openxmlformats.org/officeDocument/2006/relationships/hyperlink" Target="http://www.iea.org/openbulletin/"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967</Words>
  <Characters>5518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Culham Centre for Fusion Energy</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Brian</dc:creator>
  <cp:lastModifiedBy>Duarte Borba</cp:lastModifiedBy>
  <cp:revision>24</cp:revision>
  <dcterms:created xsi:type="dcterms:W3CDTF">2017-01-18T11:40:00Z</dcterms:created>
  <dcterms:modified xsi:type="dcterms:W3CDTF">2018-01-30T14:07:00Z</dcterms:modified>
</cp:coreProperties>
</file>